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7517BEE6" w14:textId="77777777" w:rsidR="006133D6" w:rsidRPr="000108C8" w:rsidRDefault="006133D6" w:rsidP="006133D6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108C8">
        <w:rPr>
          <w:rFonts w:ascii="Times New Roman" w:hAnsi="Times New Roman" w:cs="Times New Roman"/>
          <w:b/>
          <w:sz w:val="36"/>
          <w:szCs w:val="36"/>
          <w:lang w:val="en-GB"/>
        </w:rPr>
        <w:t xml:space="preserve">RESTART: </w:t>
      </w:r>
      <w:r w:rsidRPr="00FA695E">
        <w:rPr>
          <w:rFonts w:ascii="Times New Roman" w:hAnsi="Times New Roman" w:cs="Times New Roman"/>
          <w:b/>
          <w:sz w:val="36"/>
          <w:szCs w:val="36"/>
        </w:rPr>
        <w:t>Osposobljavanje poduzetnika u svrhu otpornosti i razvoja</w:t>
      </w:r>
    </w:p>
    <w:p w14:paraId="2B038686" w14:textId="77777777" w:rsidR="006133D6" w:rsidRDefault="006133D6" w:rsidP="006133D6">
      <w:pPr>
        <w:jc w:val="center"/>
        <w:rPr>
          <w:rFonts w:ascii="Times New Roman" w:hAnsi="Times New Roman" w:cs="Times New Roman"/>
          <w:b/>
          <w:lang w:val="en-GB"/>
        </w:rPr>
      </w:pPr>
    </w:p>
    <w:p w14:paraId="414C9E04" w14:textId="77777777" w:rsidR="006133D6" w:rsidRPr="000D0607" w:rsidRDefault="006133D6" w:rsidP="006133D6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Obrazac studije slučaja</w:t>
      </w:r>
    </w:p>
    <w:p w14:paraId="3356E967" w14:textId="77777777" w:rsidR="006133D6" w:rsidRPr="000D0607" w:rsidRDefault="006133D6" w:rsidP="006133D6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Rezultat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Zadatak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3.1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&amp; Zadatak 3.2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7B1AF94A" w14:textId="12C2CC4E" w:rsidR="00024CD4" w:rsidRDefault="00024CD4" w:rsidP="007A6687">
      <w:pPr>
        <w:jc w:val="both"/>
        <w:rPr>
          <w:rFonts w:cstheme="minorHAnsi"/>
          <w:bCs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6133D6" w:rsidRPr="004555FE" w14:paraId="66753E1A" w14:textId="3E34DF70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37AC4238" w14:textId="2E27FB31" w:rsidR="006133D6" w:rsidRPr="004555FE" w:rsidRDefault="006133D6" w:rsidP="006133D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 studije slučaja: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2F96479B" w:rsidR="006133D6" w:rsidRPr="00EB2F42" w:rsidRDefault="006133D6" w:rsidP="006133D6">
            <w:pPr>
              <w:jc w:val="both"/>
              <w:rPr>
                <w:rFonts w:cstheme="minorHAnsi"/>
                <w:bCs/>
                <w:iCs/>
              </w:rPr>
            </w:pPr>
            <w:r w:rsidRPr="00EB2F42">
              <w:rPr>
                <w:rFonts w:cstheme="minorHAnsi"/>
                <w:bCs/>
                <w:iCs/>
              </w:rPr>
              <w:t xml:space="preserve"> </w:t>
            </w:r>
            <w:r>
              <w:rPr>
                <w:rFonts w:cstheme="minorHAnsi"/>
                <w:bCs/>
                <w:iCs/>
              </w:rPr>
              <w:t>Internet Web Solutions</w:t>
            </w:r>
          </w:p>
        </w:tc>
      </w:tr>
      <w:tr w:rsidR="006133D6" w:rsidRPr="004555FE" w14:paraId="61AF4020" w14:textId="18B5C4A5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292B825" w14:textId="77D320FB" w:rsidR="006133D6" w:rsidRPr="004555FE" w:rsidRDefault="006133D6" w:rsidP="006133D6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en-GB" w:eastAsia="en-GB"/>
              </w:rPr>
            </w:pPr>
            <w:r>
              <w:rPr>
                <w:rFonts w:cstheme="minorHAnsi"/>
                <w:b/>
                <w:bCs/>
              </w:rPr>
              <w:t>Naziv modula kojemu studija slučaja pripada</w:t>
            </w:r>
            <w:r w:rsidRPr="004555F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1C2B224F" w:rsidR="006133D6" w:rsidRPr="00EB2F42" w:rsidRDefault="00F36CBD" w:rsidP="006133D6">
            <w:pPr>
              <w:jc w:val="both"/>
              <w:rPr>
                <w:rFonts w:cstheme="minorHAnsi"/>
                <w:bCs/>
                <w:iCs/>
              </w:rPr>
            </w:pPr>
            <w:r w:rsidRPr="00F36CBD">
              <w:rPr>
                <w:rFonts w:cstheme="minorHAnsi"/>
                <w:bCs/>
                <w:iCs/>
              </w:rPr>
              <w:t>Modul 3: Kibernetička sigurnost u (kućnom) uredu</w:t>
            </w:r>
          </w:p>
        </w:tc>
      </w:tr>
      <w:tr w:rsidR="006133D6" w:rsidRPr="004649E4" w14:paraId="761783B0" w14:textId="77777777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2E77686B" w14:textId="4FFD95A5" w:rsidR="006133D6" w:rsidRPr="004555FE" w:rsidRDefault="006133D6" w:rsidP="006133D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Naslov studije slučaja: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38C6C382" w:rsidR="006133D6" w:rsidRPr="004649E4" w:rsidRDefault="006133D6" w:rsidP="006133D6">
            <w:pPr>
              <w:jc w:val="both"/>
              <w:rPr>
                <w:rFonts w:cstheme="minorHAnsi"/>
                <w:bCs/>
                <w:iCs/>
                <w:lang w:val="en-GB"/>
              </w:rPr>
            </w:pPr>
            <w:r w:rsidRPr="004649E4">
              <w:rPr>
                <w:rFonts w:cstheme="minorHAnsi"/>
                <w:bCs/>
                <w:iCs/>
                <w:lang w:val="en-GB"/>
              </w:rPr>
              <w:t xml:space="preserve">WannaCry: </w:t>
            </w:r>
            <w:r w:rsidR="00F36CBD">
              <w:rPr>
                <w:rFonts w:cstheme="minorHAnsi"/>
                <w:bCs/>
                <w:iCs/>
                <w:lang w:val="en-GB"/>
              </w:rPr>
              <w:t>važnost ažuriranja</w:t>
            </w:r>
          </w:p>
        </w:tc>
      </w:tr>
      <w:tr w:rsidR="006133D6" w:rsidRPr="00B85CE7" w14:paraId="00C5E36D" w14:textId="77777777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3D595A54" w14:textId="3B903066" w:rsidR="006133D6" w:rsidRPr="004555FE" w:rsidRDefault="006133D6" w:rsidP="006133D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 studije slučaja: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2F19B" w14:textId="74C9C64A" w:rsidR="00956ACF" w:rsidRPr="00956ACF" w:rsidRDefault="00956ACF" w:rsidP="00956ACF">
            <w:pPr>
              <w:jc w:val="both"/>
              <w:rPr>
                <w:lang w:val="en-GB"/>
              </w:rPr>
            </w:pPr>
            <w:r w:rsidRPr="00956ACF">
              <w:rPr>
                <w:lang w:val="en-GB"/>
              </w:rPr>
              <w:t>Agencija Europske unije za kibernetičku sigurnost izvijestila je u svibnju 2017. o prvom slučaju kibernetičke suradnje na europskoj razini</w:t>
            </w:r>
            <w:r>
              <w:rPr>
                <w:lang w:val="en-GB"/>
              </w:rPr>
              <w:t xml:space="preserve">; </w:t>
            </w:r>
            <w:r w:rsidRPr="00956ACF">
              <w:rPr>
                <w:lang w:val="en-GB"/>
              </w:rPr>
              <w:t>radili</w:t>
            </w:r>
            <w:r>
              <w:rPr>
                <w:lang w:val="en-GB"/>
              </w:rPr>
              <w:t xml:space="preserve"> su</w:t>
            </w:r>
            <w:r w:rsidRPr="00956ACF">
              <w:rPr>
                <w:lang w:val="en-GB"/>
              </w:rPr>
              <w:t xml:space="preserve"> s nekoliko država članica koristeći Standardne operativne procedure EU. Međutim, ova je suradnja bila potaknuta kompliciranom situacijom koju je generirao masivni ransomware.</w:t>
            </w:r>
          </w:p>
          <w:p w14:paraId="59C7CE48" w14:textId="480786D3" w:rsidR="00956ACF" w:rsidRDefault="00956ACF" w:rsidP="00956ACF">
            <w:pPr>
              <w:jc w:val="both"/>
              <w:rPr>
                <w:lang w:val="en-GB"/>
              </w:rPr>
            </w:pPr>
            <w:r w:rsidRPr="00956ACF">
              <w:rPr>
                <w:lang w:val="en-GB"/>
              </w:rPr>
              <w:t xml:space="preserve">Prema RESTART </w:t>
            </w:r>
            <w:r>
              <w:rPr>
                <w:lang w:val="en-GB"/>
              </w:rPr>
              <w:t>edukacijama</w:t>
            </w:r>
            <w:r w:rsidRPr="00956ACF">
              <w:rPr>
                <w:lang w:val="en-GB"/>
              </w:rPr>
              <w:t>, ransomware je opasna vrsta zlonamjernog softvera koji šifrira datoteke na tvrdom disku uređaja i</w:t>
            </w:r>
            <w:r>
              <w:rPr>
                <w:lang w:val="en-GB"/>
              </w:rPr>
              <w:t xml:space="preserve"> korisniku</w:t>
            </w:r>
            <w:r w:rsidRPr="00956ACF">
              <w:rPr>
                <w:lang w:val="en-GB"/>
              </w:rPr>
              <w:t xml:space="preserve"> ograničava pristu</w:t>
            </w:r>
            <w:r>
              <w:rPr>
                <w:lang w:val="en-GB"/>
              </w:rPr>
              <w:t>p te zahtijeva</w:t>
            </w:r>
            <w:r w:rsidRPr="00956ACF">
              <w:rPr>
                <w:lang w:val="en-GB"/>
              </w:rPr>
              <w:t xml:space="preserve"> otkupninu, obično u kriptovalutama, u zamjenu za dekriptiranje datoteka.</w:t>
            </w:r>
          </w:p>
          <w:p w14:paraId="58421A85" w14:textId="77777777" w:rsidR="00A054B1" w:rsidRPr="00A054B1" w:rsidRDefault="00A054B1" w:rsidP="00A054B1">
            <w:pPr>
              <w:jc w:val="both"/>
              <w:rPr>
                <w:rFonts w:cstheme="minorHAnsi"/>
                <w:b/>
                <w:iCs/>
                <w:lang w:val="es-ES"/>
              </w:rPr>
            </w:pPr>
            <w:r w:rsidRPr="00A054B1">
              <w:rPr>
                <w:rFonts w:cstheme="minorHAnsi"/>
                <w:b/>
                <w:iCs/>
                <w:lang w:val="es-ES"/>
              </w:rPr>
              <w:t>Što se dogodilo?</w:t>
            </w:r>
          </w:p>
          <w:p w14:paraId="7B004012" w14:textId="2CBBE535" w:rsidR="00A054B1" w:rsidRPr="00A054B1" w:rsidRDefault="00A054B1" w:rsidP="00A054B1">
            <w:pPr>
              <w:jc w:val="both"/>
              <w:rPr>
                <w:rFonts w:cstheme="minorHAnsi"/>
                <w:bCs/>
                <w:iCs/>
                <w:lang w:val="es-ES"/>
              </w:rPr>
            </w:pPr>
            <w:r w:rsidRPr="00A054B1">
              <w:rPr>
                <w:rFonts w:cstheme="minorHAnsi"/>
                <w:bCs/>
                <w:iCs/>
                <w:lang w:val="es-ES"/>
              </w:rPr>
              <w:t xml:space="preserve">U petak, 12. svibnja 2017. dogodio se događaj koji je utjecao na tisuće računala diljem svijeta: napad ransomwarea "WannaCry". Samo u prvih nekoliko sati napada bilo je pogođeno više od 190.000 računala u 150 zemalja, uključujući kritične infrastrukturne sektore i operatere kao što su zdravstvo, promet, obrazovanje, energetika, financije i telekomunikacije, a </w:t>
            </w:r>
            <w:r>
              <w:rPr>
                <w:rFonts w:cstheme="minorHAnsi"/>
                <w:bCs/>
                <w:iCs/>
                <w:lang w:val="es-ES"/>
              </w:rPr>
              <w:t>bile su pogođene i cijele proizvodne linije proizvodnih pogona zemalja EU.</w:t>
            </w:r>
          </w:p>
          <w:p w14:paraId="3E253E45" w14:textId="77777777" w:rsidR="00A054B1" w:rsidRPr="00A054B1" w:rsidRDefault="00A054B1" w:rsidP="00A054B1">
            <w:pPr>
              <w:jc w:val="both"/>
              <w:rPr>
                <w:rFonts w:cstheme="minorHAnsi"/>
                <w:bCs/>
                <w:iCs/>
                <w:lang w:val="es-ES"/>
              </w:rPr>
            </w:pPr>
            <w:r w:rsidRPr="00A054B1">
              <w:rPr>
                <w:rFonts w:cstheme="minorHAnsi"/>
                <w:bCs/>
                <w:iCs/>
                <w:lang w:val="es-ES"/>
              </w:rPr>
              <w:t>Do toga je došlo nakon što se na zaslonima njihovih računala pojavila poruka da će njihovi sustavi i datoteke biti zaključani dok se ne plati otkupnina.</w:t>
            </w:r>
          </w:p>
          <w:p w14:paraId="015068C9" w14:textId="5DF55BE9" w:rsidR="006133D6" w:rsidRPr="00FE4C63" w:rsidRDefault="00A054B1" w:rsidP="00A054B1">
            <w:pPr>
              <w:jc w:val="both"/>
              <w:rPr>
                <w:rFonts w:cstheme="minorHAnsi"/>
                <w:b/>
                <w:iCs/>
                <w:lang w:val="en-GB"/>
              </w:rPr>
            </w:pPr>
            <w:r>
              <w:rPr>
                <w:rFonts w:cstheme="minorHAnsi"/>
                <w:b/>
                <w:iCs/>
                <w:lang w:val="en-GB"/>
              </w:rPr>
              <w:t>Zašto se to dogodilo?</w:t>
            </w:r>
          </w:p>
          <w:p w14:paraId="485B26D5" w14:textId="77777777" w:rsidR="00FA22FA" w:rsidRPr="00FA22FA" w:rsidRDefault="00FA22FA" w:rsidP="00FA22FA">
            <w:pPr>
              <w:jc w:val="both"/>
              <w:rPr>
                <w:rFonts w:cstheme="minorHAnsi"/>
                <w:bCs/>
                <w:iCs/>
                <w:lang w:val="en-GB"/>
              </w:rPr>
            </w:pPr>
            <w:r w:rsidRPr="00FA22FA">
              <w:rPr>
                <w:rFonts w:cstheme="minorHAnsi"/>
                <w:bCs/>
                <w:iCs/>
                <w:lang w:val="en-GB"/>
              </w:rPr>
              <w:lastRenderedPageBreak/>
              <w:t>WannaCry je utjecao na uređaje s operativnim sustavom Microsoft Windows iskorištavanjem ranjivosti MS17-010 kroz kod "EternalBlue" koji su koristili hakeri.</w:t>
            </w:r>
          </w:p>
          <w:p w14:paraId="6BED9FCE" w14:textId="2C5B4067" w:rsidR="00FA22FA" w:rsidRPr="00FA22FA" w:rsidRDefault="00FA22FA" w:rsidP="00FA22FA">
            <w:pPr>
              <w:jc w:val="both"/>
              <w:rPr>
                <w:rFonts w:cstheme="minorHAnsi"/>
                <w:bCs/>
                <w:iCs/>
                <w:lang w:val="en-GB"/>
              </w:rPr>
            </w:pPr>
            <w:r w:rsidRPr="00FA22FA">
              <w:rPr>
                <w:rFonts w:cstheme="minorHAnsi"/>
                <w:bCs/>
                <w:iCs/>
                <w:lang w:val="en-GB"/>
              </w:rPr>
              <w:t xml:space="preserve">Iako ransomware obično zahtijeva interakciju korisnika s nečim, poput preuzimanja zaraženog </w:t>
            </w:r>
            <w:r>
              <w:rPr>
                <w:rFonts w:cstheme="minorHAnsi"/>
                <w:bCs/>
                <w:iCs/>
                <w:lang w:val="en-GB"/>
              </w:rPr>
              <w:t xml:space="preserve">e-mail </w:t>
            </w:r>
            <w:r w:rsidRPr="00FA22FA">
              <w:rPr>
                <w:rFonts w:cstheme="minorHAnsi"/>
                <w:bCs/>
                <w:iCs/>
                <w:lang w:val="en-GB"/>
              </w:rPr>
              <w:t xml:space="preserve">privitka ili posjete web stranici koja preuzima zlonamjerni softver na uređaj, </w:t>
            </w:r>
            <w:r w:rsidR="00A933DF">
              <w:rPr>
                <w:rFonts w:cstheme="minorHAnsi"/>
                <w:bCs/>
                <w:iCs/>
                <w:lang w:val="en-GB"/>
              </w:rPr>
              <w:t xml:space="preserve">uvjet </w:t>
            </w:r>
            <w:r w:rsidRPr="00FA22FA">
              <w:rPr>
                <w:rFonts w:cstheme="minorHAnsi"/>
                <w:bCs/>
                <w:iCs/>
                <w:lang w:val="en-GB"/>
              </w:rPr>
              <w:t>WannaCry</w:t>
            </w:r>
            <w:r w:rsidR="00A933DF">
              <w:rPr>
                <w:rFonts w:cstheme="minorHAnsi"/>
                <w:bCs/>
                <w:iCs/>
                <w:lang w:val="en-GB"/>
              </w:rPr>
              <w:t>-a</w:t>
            </w:r>
            <w:r w:rsidRPr="00FA22FA">
              <w:rPr>
                <w:rFonts w:cstheme="minorHAnsi"/>
                <w:bCs/>
                <w:iCs/>
                <w:lang w:val="en-GB"/>
              </w:rPr>
              <w:t xml:space="preserve"> </w:t>
            </w:r>
            <w:r w:rsidR="00A933DF">
              <w:rPr>
                <w:rFonts w:cstheme="minorHAnsi"/>
                <w:bCs/>
                <w:iCs/>
                <w:lang w:val="en-GB"/>
              </w:rPr>
              <w:t>bio je</w:t>
            </w:r>
            <w:r w:rsidRPr="00FA22FA">
              <w:rPr>
                <w:rFonts w:cstheme="minorHAnsi"/>
                <w:bCs/>
                <w:iCs/>
                <w:lang w:val="en-GB"/>
              </w:rPr>
              <w:t xml:space="preserve"> samo da uređaj ima ranjivu verziju sustava Windows</w:t>
            </w:r>
            <w:r w:rsidR="00A933DF">
              <w:rPr>
                <w:rFonts w:cstheme="minorHAnsi"/>
                <w:bCs/>
                <w:iCs/>
                <w:lang w:val="en-GB"/>
              </w:rPr>
              <w:t>.</w:t>
            </w:r>
          </w:p>
          <w:p w14:paraId="2E173D80" w14:textId="4F6ABABC" w:rsidR="00FA22FA" w:rsidRDefault="00FA22FA" w:rsidP="00FA22FA">
            <w:pPr>
              <w:jc w:val="both"/>
              <w:rPr>
                <w:rFonts w:cstheme="minorHAnsi"/>
                <w:bCs/>
                <w:iCs/>
                <w:lang w:val="en-GB"/>
              </w:rPr>
            </w:pPr>
            <w:r w:rsidRPr="00FA22FA">
              <w:rPr>
                <w:rFonts w:cstheme="minorHAnsi"/>
                <w:bCs/>
                <w:iCs/>
                <w:lang w:val="en-GB"/>
              </w:rPr>
              <w:t xml:space="preserve">Širenje je bilo vrlo brzo jer je koristio protokol nazvan "SMBv1" koji je komunicirao s pisačima i uređajima spojenim na istu mrežu kako bi nastavio </w:t>
            </w:r>
            <w:r w:rsidR="00A933DF">
              <w:rPr>
                <w:rFonts w:cstheme="minorHAnsi"/>
                <w:bCs/>
                <w:iCs/>
                <w:lang w:val="en-GB"/>
              </w:rPr>
              <w:t>sa zarazom</w:t>
            </w:r>
            <w:r w:rsidRPr="00FA22FA">
              <w:rPr>
                <w:rFonts w:cstheme="minorHAnsi"/>
                <w:bCs/>
                <w:iCs/>
                <w:lang w:val="en-GB"/>
              </w:rPr>
              <w:t xml:space="preserve">, a uglavnom je činio datoteke nedostupnima i blokirao računalne programe, tražeći otkupninu u zamjenu za </w:t>
            </w:r>
            <w:r w:rsidR="00A933DF">
              <w:rPr>
                <w:rFonts w:cstheme="minorHAnsi"/>
                <w:bCs/>
                <w:iCs/>
                <w:lang w:val="en-GB"/>
              </w:rPr>
              <w:t>oporavak</w:t>
            </w:r>
            <w:r w:rsidRPr="00FA22FA">
              <w:rPr>
                <w:rFonts w:cstheme="minorHAnsi"/>
                <w:bCs/>
                <w:iCs/>
                <w:lang w:val="en-GB"/>
              </w:rPr>
              <w:t xml:space="preserve"> normalne aktivnosti.</w:t>
            </w:r>
          </w:p>
          <w:p w14:paraId="2D7A7558" w14:textId="53717CF2" w:rsidR="006133D6" w:rsidRPr="004649E4" w:rsidRDefault="00403529" w:rsidP="00FA22FA">
            <w:pPr>
              <w:jc w:val="both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Kako se to moglo izbjeći</w:t>
            </w:r>
            <w:r w:rsidR="006133D6" w:rsidRPr="004649E4">
              <w:rPr>
                <w:rFonts w:cstheme="minorHAnsi"/>
                <w:b/>
                <w:iCs/>
              </w:rPr>
              <w:t>?</w:t>
            </w:r>
          </w:p>
          <w:p w14:paraId="38DB496D" w14:textId="44F3FA23" w:rsidR="00403529" w:rsidRPr="00403529" w:rsidRDefault="00403529" w:rsidP="00403529">
            <w:pPr>
              <w:jc w:val="both"/>
              <w:rPr>
                <w:rFonts w:cstheme="minorHAnsi"/>
                <w:bCs/>
                <w:iCs/>
                <w:lang w:val="en-GB"/>
              </w:rPr>
            </w:pPr>
            <w:r w:rsidRPr="00403529">
              <w:rPr>
                <w:rFonts w:cstheme="minorHAnsi"/>
                <w:bCs/>
                <w:iCs/>
                <w:lang w:val="en-GB"/>
              </w:rPr>
              <w:t xml:space="preserve">Danas znamo da </w:t>
            </w:r>
            <w:r>
              <w:rPr>
                <w:rFonts w:cstheme="minorHAnsi"/>
                <w:bCs/>
                <w:iCs/>
                <w:lang w:val="en-GB"/>
              </w:rPr>
              <w:t xml:space="preserve">je, </w:t>
            </w:r>
            <w:r w:rsidRPr="00403529">
              <w:rPr>
                <w:rFonts w:cstheme="minorHAnsi"/>
                <w:bCs/>
                <w:iCs/>
                <w:lang w:val="en-GB"/>
              </w:rPr>
              <w:t>kada se sve ovo dogodilo, Windows već imao ažuriranu verziju koja je popravila ranjivost koju je Wanna</w:t>
            </w:r>
            <w:r>
              <w:rPr>
                <w:rFonts w:cstheme="minorHAnsi"/>
                <w:bCs/>
                <w:iCs/>
                <w:lang w:val="en-GB"/>
              </w:rPr>
              <w:t>C</w:t>
            </w:r>
            <w:r w:rsidRPr="00403529">
              <w:rPr>
                <w:rFonts w:cstheme="minorHAnsi"/>
                <w:bCs/>
                <w:iCs/>
                <w:lang w:val="en-GB"/>
              </w:rPr>
              <w:t xml:space="preserve">ry iskorištavao. </w:t>
            </w:r>
            <w:r>
              <w:rPr>
                <w:rFonts w:cstheme="minorHAnsi"/>
                <w:bCs/>
                <w:iCs/>
                <w:lang w:val="en-GB"/>
              </w:rPr>
              <w:t>Zato</w:t>
            </w:r>
            <w:r w:rsidRPr="00403529">
              <w:rPr>
                <w:rFonts w:cstheme="minorHAnsi"/>
                <w:bCs/>
                <w:iCs/>
                <w:lang w:val="en-GB"/>
              </w:rPr>
              <w:t xml:space="preserve"> bi najlakši način da se to izbjegne bio imati najnovija sigurnosna ažuriranja i ažurirani antivirusni program. Osim toga, druge mjere također pomažu da učinak</w:t>
            </w:r>
            <w:r>
              <w:rPr>
                <w:rFonts w:cstheme="minorHAnsi"/>
                <w:bCs/>
                <w:iCs/>
                <w:lang w:val="en-GB"/>
              </w:rPr>
              <w:t xml:space="preserve"> malwarea</w:t>
            </w:r>
            <w:r w:rsidRPr="00403529">
              <w:rPr>
                <w:rFonts w:cstheme="minorHAnsi"/>
                <w:bCs/>
                <w:iCs/>
                <w:lang w:val="en-GB"/>
              </w:rPr>
              <w:t xml:space="preserve"> bude manji ili nepostojeći</w:t>
            </w:r>
            <w:r>
              <w:rPr>
                <w:rFonts w:cstheme="minorHAnsi"/>
                <w:bCs/>
                <w:iCs/>
                <w:lang w:val="en-GB"/>
              </w:rPr>
              <w:t xml:space="preserve"> jesu</w:t>
            </w:r>
            <w:r w:rsidRPr="00403529">
              <w:rPr>
                <w:rFonts w:cstheme="minorHAnsi"/>
                <w:bCs/>
                <w:iCs/>
                <w:lang w:val="en-GB"/>
              </w:rPr>
              <w:t>:</w:t>
            </w:r>
          </w:p>
          <w:p w14:paraId="5FF55628" w14:textId="50ABAF30" w:rsidR="00403529" w:rsidRDefault="00403529" w:rsidP="006133D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Cs/>
                <w:lang w:val="en-GB"/>
              </w:rPr>
            </w:pPr>
            <w:r w:rsidRPr="00403529">
              <w:rPr>
                <w:rFonts w:cstheme="minorHAnsi"/>
                <w:bCs/>
                <w:iCs/>
                <w:lang w:val="en-GB"/>
              </w:rPr>
              <w:t>Redovit</w:t>
            </w:r>
            <w:r>
              <w:rPr>
                <w:rFonts w:cstheme="minorHAnsi"/>
                <w:bCs/>
                <w:iCs/>
                <w:lang w:val="en-GB"/>
              </w:rPr>
              <w:t>o</w:t>
            </w:r>
            <w:r w:rsidRPr="00403529">
              <w:rPr>
                <w:rFonts w:cstheme="minorHAnsi"/>
                <w:bCs/>
                <w:iCs/>
                <w:lang w:val="en-GB"/>
              </w:rPr>
              <w:t xml:space="preserve"> sigurnosn</w:t>
            </w:r>
            <w:r>
              <w:rPr>
                <w:rFonts w:cstheme="minorHAnsi"/>
                <w:bCs/>
                <w:iCs/>
                <w:lang w:val="en-GB"/>
              </w:rPr>
              <w:t>o</w:t>
            </w:r>
            <w:r w:rsidRPr="00403529">
              <w:rPr>
                <w:rFonts w:cstheme="minorHAnsi"/>
                <w:bCs/>
                <w:iCs/>
                <w:lang w:val="en-GB"/>
              </w:rPr>
              <w:t xml:space="preserve"> kopi</w:t>
            </w:r>
            <w:r>
              <w:rPr>
                <w:rFonts w:cstheme="minorHAnsi"/>
                <w:bCs/>
                <w:iCs/>
                <w:lang w:val="en-GB"/>
              </w:rPr>
              <w:t>ranje</w:t>
            </w:r>
            <w:r w:rsidRPr="00403529">
              <w:rPr>
                <w:rFonts w:cstheme="minorHAnsi"/>
                <w:bCs/>
                <w:iCs/>
                <w:lang w:val="en-GB"/>
              </w:rPr>
              <w:t xml:space="preserve"> svih datoteka.</w:t>
            </w:r>
          </w:p>
          <w:p w14:paraId="142E4109" w14:textId="77777777" w:rsidR="00403529" w:rsidRDefault="00403529" w:rsidP="006133D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Cs/>
                <w:lang w:val="en-GB"/>
              </w:rPr>
            </w:pPr>
            <w:r w:rsidRPr="00403529">
              <w:rPr>
                <w:rFonts w:cstheme="minorHAnsi"/>
                <w:bCs/>
                <w:iCs/>
                <w:lang w:val="en-GB"/>
              </w:rPr>
              <w:t>Provođenje kampanja podizanja svijesti zaposlenika o kibernetičkoj sigurnosti.</w:t>
            </w:r>
          </w:p>
          <w:p w14:paraId="27EB165E" w14:textId="7B3AFB15" w:rsidR="006133D6" w:rsidRPr="00645BA3" w:rsidRDefault="00403529" w:rsidP="006133D6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Cs/>
                <w:lang w:val="en-GB"/>
              </w:rPr>
            </w:pPr>
            <w:r w:rsidRPr="00403529">
              <w:rPr>
                <w:rFonts w:cstheme="minorHAnsi"/>
                <w:bCs/>
                <w:iCs/>
                <w:lang w:val="en-GB"/>
              </w:rPr>
              <w:t xml:space="preserve">U slučaju zaraze nemojte plaćati otkupninu, </w:t>
            </w:r>
            <w:r>
              <w:rPr>
                <w:rFonts w:cstheme="minorHAnsi"/>
                <w:bCs/>
                <w:iCs/>
                <w:lang w:val="en-GB"/>
              </w:rPr>
              <w:t>nego</w:t>
            </w:r>
            <w:r w:rsidRPr="00403529">
              <w:rPr>
                <w:rFonts w:cstheme="minorHAnsi"/>
                <w:bCs/>
                <w:iCs/>
                <w:lang w:val="en-GB"/>
              </w:rPr>
              <w:t xml:space="preserve"> kontaktirajte stručnu pomoć jer uplata ne jamči da će korisnici ponovno moći pristupiti svojim datotekama.</w:t>
            </w:r>
          </w:p>
        </w:tc>
      </w:tr>
      <w:tr w:rsidR="004D29F0" w:rsidRPr="004555FE" w14:paraId="208996DD" w14:textId="77777777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02D03FC2" w14:textId="65753B5B" w:rsidR="004D29F0" w:rsidRPr="004555FE" w:rsidRDefault="006133D6" w:rsidP="004555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Poveznica za više informacija: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035EEF0B" w:rsidR="004D29F0" w:rsidRPr="00680919" w:rsidRDefault="00000000" w:rsidP="004555FE">
            <w:pPr>
              <w:jc w:val="both"/>
              <w:rPr>
                <w:rFonts w:cstheme="minorHAnsi"/>
                <w:bCs/>
                <w:iCs/>
              </w:rPr>
            </w:pPr>
            <w:hyperlink r:id="rId11" w:history="1">
              <w:r w:rsidR="00680919" w:rsidRPr="00680919">
                <w:rPr>
                  <w:rStyle w:val="Hyperlink"/>
                  <w:rFonts w:cstheme="minorHAnsi"/>
                  <w:bCs/>
                  <w:iCs/>
                </w:rPr>
                <w:t>https://www.enisa.europa.eu/news/enisa-news/wannacry-ransomware-first-ever-case-of-cyber-cooperation-at-eu-level</w:t>
              </w:r>
            </w:hyperlink>
            <w:r w:rsidR="00680919" w:rsidRPr="00680919">
              <w:rPr>
                <w:rFonts w:cstheme="minorHAnsi"/>
                <w:bCs/>
                <w:iCs/>
              </w:rPr>
              <w:t xml:space="preserve"> </w:t>
            </w:r>
          </w:p>
        </w:tc>
      </w:tr>
      <w:tr w:rsidR="00D10168" w:rsidRPr="004555FE" w14:paraId="38846A9F" w14:textId="3D05AC26" w:rsidTr="0B55753D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44954D14" w14:textId="77777777" w:rsidR="00D10168" w:rsidRPr="004555FE" w:rsidRDefault="00D10168" w:rsidP="00D1016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Ciljana skupina studije slučaja:</w:t>
            </w:r>
          </w:p>
          <w:p w14:paraId="0D3B56FA" w14:textId="77777777" w:rsidR="00D10168" w:rsidRPr="004555FE" w:rsidRDefault="00D10168" w:rsidP="00D101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D0FD9" w14:textId="77777777" w:rsidR="00D10168" w:rsidRPr="004555FE" w:rsidRDefault="00D10168" w:rsidP="00D10168">
            <w:pPr>
              <w:rPr>
                <w:rFonts w:cstheme="minorHAnsi"/>
                <w:bCs/>
              </w:rPr>
            </w:pPr>
            <w:r w:rsidRPr="004555F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D763C2">
              <w:rPr>
                <w:rFonts w:cstheme="minorHAnsi"/>
                <w:bCs/>
              </w:rPr>
              <w:t>Mikro, mala i srednja poduzeća (M</w:t>
            </w:r>
            <w:r>
              <w:rPr>
                <w:rFonts w:cstheme="minorHAnsi"/>
                <w:bCs/>
              </w:rPr>
              <w:t>MSP</w:t>
            </w:r>
            <w:r w:rsidRPr="00D763C2">
              <w:rPr>
                <w:rFonts w:cstheme="minorHAnsi"/>
                <w:bCs/>
              </w:rPr>
              <w:t>)</w:t>
            </w:r>
          </w:p>
          <w:p w14:paraId="42C5A1B8" w14:textId="77777777" w:rsidR="00D10168" w:rsidRDefault="00D10168" w:rsidP="00D10168">
            <w:pPr>
              <w:rPr>
                <w:rFonts w:cstheme="minorHAnsi"/>
                <w:bCs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D763C2">
              <w:rPr>
                <w:rFonts w:cstheme="minorHAnsi"/>
                <w:bCs/>
              </w:rPr>
              <w:t>Zaposlenici MMSP</w:t>
            </w:r>
            <w:r>
              <w:rPr>
                <w:rFonts w:cstheme="minorHAnsi"/>
                <w:bCs/>
              </w:rPr>
              <w:t xml:space="preserve">-a </w:t>
            </w:r>
          </w:p>
          <w:p w14:paraId="32D9D7ED" w14:textId="77777777" w:rsidR="00D10168" w:rsidRPr="004555FE" w:rsidRDefault="00D10168" w:rsidP="00D101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4555FE">
              <w:rPr>
                <w:rFonts w:cstheme="minorHAnsi"/>
                <w:bCs/>
              </w:rPr>
              <w:t>EU VET e</w:t>
            </w:r>
            <w:r>
              <w:rPr>
                <w:rFonts w:cstheme="minorHAnsi"/>
                <w:bCs/>
              </w:rPr>
              <w:t>kosustav</w:t>
            </w:r>
          </w:p>
          <w:p w14:paraId="1DA9F3F1" w14:textId="6A3D6EE5" w:rsidR="00D10168" w:rsidRPr="004555FE" w:rsidRDefault="00D10168" w:rsidP="00D10168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 w:cs="Arima Koshi"/>
              </w:rPr>
              <w:instrText xml:space="preserve"> FORMCHECKBOX </w:instrText>
            </w:r>
            <w:r>
              <w:rPr>
                <w:rFonts w:ascii="Webdings" w:hAnsi="Webdings" w:cs="Arima Koshi"/>
              </w:rPr>
            </w:r>
            <w:r>
              <w:rPr>
                <w:rFonts w:ascii="Webdings" w:hAnsi="Webdings" w:cs="Arima Koshi"/>
              </w:rPr>
              <w:fldChar w:fldCharType="separate"/>
            </w:r>
            <w:r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D763C2">
              <w:rPr>
                <w:rFonts w:cstheme="minorHAnsi"/>
                <w:bCs/>
              </w:rPr>
              <w:t>Organizacije za poslovnu podršku</w:t>
            </w:r>
          </w:p>
        </w:tc>
      </w:tr>
      <w:tr w:rsidR="004555FE" w:rsidRPr="004555FE" w14:paraId="7C9968C9" w14:textId="1C0018A1" w:rsidTr="0B55753D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</w:tcPr>
          <w:p w14:paraId="4ABD952E" w14:textId="7842DCBD" w:rsidR="004555FE" w:rsidRPr="004555FE" w:rsidRDefault="006133D6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n-GB" w:eastAsia="en-GB"/>
              </w:rPr>
              <w:t>ESCO kompetencije i vještine:</w:t>
            </w:r>
          </w:p>
        </w:tc>
      </w:tr>
      <w:tr w:rsidR="004555FE" w:rsidRPr="004555FE" w14:paraId="0174E41B" w14:textId="6610E47E" w:rsidTr="0B55753D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7B490B1" w14:textId="77777777" w:rsidR="00D10168" w:rsidRDefault="00D10168" w:rsidP="00D1016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[</w:t>
            </w: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 xml:space="preserve">molimo da </w:t>
            </w:r>
            <w:r w:rsidRPr="00D763C2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istaknete</w:t>
            </w: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 xml:space="preserve"> kompetencije i vještine koje su usklađene s definicijama ESCO-a i koje razvija svaki dio ovog modula</w:t>
            </w: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] </w:t>
            </w:r>
          </w:p>
          <w:p w14:paraId="1D545742" w14:textId="77777777" w:rsidR="00AB4C51" w:rsidRDefault="00AB4C51" w:rsidP="00AB4C51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</w:p>
          <w:p w14:paraId="00038562" w14:textId="77777777" w:rsidR="00AB4C51" w:rsidRDefault="00AB4C51" w:rsidP="00AB4C51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Transverzalne vještine i kompetencije</w:t>
            </w:r>
          </w:p>
          <w:p w14:paraId="2220A89E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Društvene i emocionalne vještine</w:t>
            </w:r>
          </w:p>
          <w:p w14:paraId="59F168B9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highlight w:val="yellow"/>
              </w:rPr>
              <w:t>Kritičko mišljenje</w:t>
            </w:r>
          </w:p>
          <w:p w14:paraId="1D4B7922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highlight w:val="yellow"/>
              </w:rPr>
              <w:t>Analitičko mišljenje</w:t>
            </w:r>
          </w:p>
          <w:p w14:paraId="7372C924" w14:textId="77777777" w:rsidR="00AB4C51" w:rsidRP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lastRenderedPageBreak/>
              <w:t>Rješavanje problema</w:t>
            </w:r>
          </w:p>
          <w:p w14:paraId="159B6856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Samoupravljanje</w:t>
            </w:r>
          </w:p>
          <w:p w14:paraId="05FE6145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highlight w:val="yellow"/>
              </w:rPr>
              <w:t>Poslovno upravljanje</w:t>
            </w:r>
          </w:p>
          <w:p w14:paraId="0AE6461F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Prilagodljivost</w:t>
            </w:r>
          </w:p>
          <w:p w14:paraId="3F1CD3A0" w14:textId="77777777" w:rsidR="00AB4C51" w:rsidRP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r w:rsidRPr="00AB4C51">
              <w:rPr>
                <w:rFonts w:eastAsiaTheme="minorEastAsia"/>
                <w:highlight w:val="yellow"/>
              </w:rPr>
              <w:t>Otpornost</w:t>
            </w:r>
          </w:p>
          <w:p w14:paraId="4FEF7C16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Kreativnost</w:t>
            </w:r>
          </w:p>
          <w:p w14:paraId="31784577" w14:textId="77777777" w:rsidR="00AB4C51" w:rsidRP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Umrežavanje</w:t>
            </w:r>
          </w:p>
          <w:p w14:paraId="6E0DA82A" w14:textId="77777777" w:rsidR="00AB4C51" w:rsidRP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Inicijativa</w:t>
            </w:r>
          </w:p>
          <w:p w14:paraId="1CF94D78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Fleksibilnost</w:t>
            </w:r>
          </w:p>
          <w:p w14:paraId="231DB1F6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Otvorenost</w:t>
            </w:r>
          </w:p>
          <w:p w14:paraId="4540FB24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highlight w:val="yellow"/>
              </w:rPr>
              <w:t>Rješavanje složenih problema</w:t>
            </w:r>
          </w:p>
          <w:p w14:paraId="68EF6692" w14:textId="77777777" w:rsidR="00AB4C51" w:rsidRP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r w:rsidRPr="00AB4C51">
              <w:rPr>
                <w:rFonts w:eastAsiaTheme="minorEastAsia"/>
                <w:highlight w:val="yellow"/>
              </w:rPr>
              <w:t>Suradnja</w:t>
            </w:r>
          </w:p>
          <w:p w14:paraId="433EEEB8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Empatija</w:t>
            </w:r>
          </w:p>
          <w:p w14:paraId="6058D019" w14:textId="77777777" w:rsidR="00AB4C51" w:rsidRP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Inovacija</w:t>
            </w:r>
          </w:p>
          <w:p w14:paraId="4A344552" w14:textId="77777777" w:rsidR="00AB4C51" w:rsidRP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Vodstvo</w:t>
            </w:r>
          </w:p>
          <w:p w14:paraId="52542664" w14:textId="77777777" w:rsidR="00AB4C51" w:rsidRDefault="00AB4C51" w:rsidP="00AB4C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0151AEBC" w14:textId="77777777" w:rsidR="00AB4C51" w:rsidRDefault="00AB4C51" w:rsidP="00AB4C51">
            <w:pPr>
              <w:pStyle w:val="ListParagraph"/>
              <w:numPr>
                <w:ilvl w:val="0"/>
                <w:numId w:val="35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Vještine</w:t>
            </w:r>
          </w:p>
          <w:p w14:paraId="35A9250F" w14:textId="77777777" w:rsidR="00AB4C51" w:rsidRP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r w:rsidRPr="00AB4C51">
              <w:rPr>
                <w:rFonts w:eastAsiaTheme="minorEastAsia"/>
                <w:highlight w:val="yellow"/>
              </w:rPr>
              <w:t>Tehnološke vještine</w:t>
            </w:r>
          </w:p>
          <w:p w14:paraId="34FF8439" w14:textId="77777777" w:rsidR="00AB4C51" w:rsidRP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Marketing proizvoda</w:t>
            </w:r>
          </w:p>
          <w:p w14:paraId="4980407E" w14:textId="77777777" w:rsidR="00AB4C51" w:rsidRP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Digitalni marketing</w:t>
            </w:r>
          </w:p>
          <w:p w14:paraId="58370E0B" w14:textId="77777777" w:rsid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highlight w:val="yellow"/>
              </w:rPr>
              <w:t>Digitalne vještine</w:t>
            </w:r>
          </w:p>
          <w:p w14:paraId="5322A7E4" w14:textId="77777777" w:rsidR="00AB4C51" w:rsidRPr="00AB4C51" w:rsidRDefault="00AB4C51" w:rsidP="00AB4C51">
            <w:pPr>
              <w:pStyle w:val="ListParagraph"/>
              <w:numPr>
                <w:ilvl w:val="1"/>
                <w:numId w:val="35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Komunikacija</w:t>
            </w:r>
          </w:p>
          <w:p w14:paraId="738FC53E" w14:textId="77777777" w:rsidR="00AB4C51" w:rsidRP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Suradnja</w:t>
            </w:r>
          </w:p>
          <w:p w14:paraId="6D8EDF8B" w14:textId="77777777" w:rsid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Emocionalna inteligencija</w:t>
            </w:r>
          </w:p>
          <w:p w14:paraId="1D22D9CD" w14:textId="77777777" w:rsidR="00AB4C51" w:rsidRDefault="00AB4C51" w:rsidP="00AB4C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14:paraId="5D0A3C27" w14:textId="77777777" w:rsidR="00AB4C51" w:rsidRDefault="00AB4C51" w:rsidP="00AB4C51">
            <w:pPr>
              <w:pStyle w:val="ListParagraph"/>
              <w:numPr>
                <w:ilvl w:val="0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Znanja</w:t>
            </w:r>
          </w:p>
          <w:p w14:paraId="6CB28439" w14:textId="77777777" w:rsidR="00AB4C51" w:rsidRP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Poslovno upravljanje</w:t>
            </w:r>
          </w:p>
          <w:p w14:paraId="178779AB" w14:textId="77777777" w:rsid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Online učenje i obuka</w:t>
            </w:r>
          </w:p>
          <w:p w14:paraId="43534B72" w14:textId="77777777" w:rsidR="00AB4C51" w:rsidRP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Oglašavanje</w:t>
            </w:r>
          </w:p>
          <w:p w14:paraId="6D822256" w14:textId="77777777" w:rsid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Računarstvo u Oblaku</w:t>
            </w:r>
          </w:p>
          <w:p w14:paraId="346C39D9" w14:textId="77777777" w:rsid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Veliki podaci</w:t>
            </w:r>
          </w:p>
          <w:p w14:paraId="36F4165F" w14:textId="77777777" w:rsidR="00AB4C51" w:rsidRP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E-trgovina</w:t>
            </w:r>
          </w:p>
          <w:p w14:paraId="4D0AFA80" w14:textId="77777777" w:rsid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Umjetna inteligencija</w:t>
            </w:r>
          </w:p>
          <w:p w14:paraId="3938DEFC" w14:textId="77777777" w:rsid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IoT (Internet of Things – “internet stvari”)</w:t>
            </w:r>
          </w:p>
          <w:p w14:paraId="55CF4542" w14:textId="77777777" w:rsidR="00AB4C51" w:rsidRP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r w:rsidRPr="00AB4C51">
              <w:rPr>
                <w:rFonts w:eastAsiaTheme="minorEastAsia"/>
                <w:highlight w:val="yellow"/>
              </w:rPr>
              <w:t>Digitalna pismenost</w:t>
            </w:r>
          </w:p>
          <w:p w14:paraId="0BA0DB68" w14:textId="77777777" w:rsidR="00AB4C51" w:rsidRP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  <w:highlight w:val="yellow"/>
              </w:rPr>
            </w:pPr>
            <w:r w:rsidRPr="00AB4C51">
              <w:rPr>
                <w:rFonts w:eastAsiaTheme="minorEastAsia"/>
                <w:highlight w:val="yellow"/>
              </w:rPr>
              <w:t>Kibernetička sigurnost</w:t>
            </w:r>
          </w:p>
          <w:p w14:paraId="350DE3DF" w14:textId="38A75AE4" w:rsid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Rudarenje i analiza podataka</w:t>
            </w:r>
          </w:p>
          <w:p w14:paraId="70EBB99A" w14:textId="77777777" w:rsidR="00AB4C51" w:rsidRP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 w:rsidRPr="00AB4C51">
              <w:rPr>
                <w:rFonts w:eastAsiaTheme="minorEastAsia"/>
              </w:rPr>
              <w:t>Održivost</w:t>
            </w:r>
          </w:p>
          <w:p w14:paraId="1E3C2FC0" w14:textId="77777777" w:rsid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Dobrobit</w:t>
            </w:r>
          </w:p>
          <w:p w14:paraId="06009452" w14:textId="77777777" w:rsid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Klimatske promjene</w:t>
            </w:r>
          </w:p>
          <w:p w14:paraId="311AAD5C" w14:textId="51CD07BD" w:rsidR="004555FE" w:rsidRPr="00AB4C51" w:rsidRDefault="00AB4C51" w:rsidP="00AB4C51">
            <w:pPr>
              <w:pStyle w:val="ListParagraph"/>
              <w:numPr>
                <w:ilvl w:val="1"/>
                <w:numId w:val="36"/>
              </w:num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Upravljanje društvenim mrežama</w:t>
            </w:r>
            <w:r w:rsidR="004555FE" w:rsidRPr="00AB4C51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77777777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A42F" w14:textId="77777777" w:rsidR="00B51F02" w:rsidRDefault="00B51F02">
      <w:pPr>
        <w:spacing w:after="0" w:line="240" w:lineRule="auto"/>
      </w:pPr>
      <w:r>
        <w:separator/>
      </w:r>
    </w:p>
  </w:endnote>
  <w:endnote w:type="continuationSeparator" w:id="0">
    <w:p w14:paraId="6EAA77A1" w14:textId="77777777" w:rsidR="00B51F02" w:rsidRDefault="00B5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Footer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4012BE" w:rsidRDefault="00475C90" w:rsidP="00493FC4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77777777" w:rsidR="00475C90" w:rsidRPr="004012BE" w:rsidRDefault="00475C90" w:rsidP="00493FC4">
                    <w:pPr>
                      <w:pStyle w:val="Body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8D0B" w14:textId="77777777" w:rsidR="00B51F02" w:rsidRDefault="00B51F02">
      <w:pPr>
        <w:spacing w:after="0" w:line="240" w:lineRule="auto"/>
      </w:pPr>
      <w:r>
        <w:separator/>
      </w:r>
    </w:p>
  </w:footnote>
  <w:footnote w:type="continuationSeparator" w:id="0">
    <w:p w14:paraId="607C3F17" w14:textId="77777777" w:rsidR="00B51F02" w:rsidRDefault="00B5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Header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5BD6BC8A"/>
    <w:lvl w:ilvl="0" w:tplc="99D65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2A5F3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3120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6D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2E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46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09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0C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BC8D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59D"/>
    <w:multiLevelType w:val="hybridMultilevel"/>
    <w:tmpl w:val="CA34D91C"/>
    <w:lvl w:ilvl="0" w:tplc="EEAAB8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6B69F"/>
    <w:multiLevelType w:val="hybridMultilevel"/>
    <w:tmpl w:val="54080A7A"/>
    <w:lvl w:ilvl="0" w:tplc="634009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ECE48E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99F84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6C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A11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F785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22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63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D63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8511687">
    <w:abstractNumId w:val="33"/>
  </w:num>
  <w:num w:numId="2" w16cid:durableId="271481310">
    <w:abstractNumId w:val="9"/>
  </w:num>
  <w:num w:numId="3" w16cid:durableId="738986110">
    <w:abstractNumId w:val="30"/>
  </w:num>
  <w:num w:numId="4" w16cid:durableId="1500345345">
    <w:abstractNumId w:val="17"/>
  </w:num>
  <w:num w:numId="5" w16cid:durableId="1689715787">
    <w:abstractNumId w:val="7"/>
  </w:num>
  <w:num w:numId="6" w16cid:durableId="375548419">
    <w:abstractNumId w:val="21"/>
  </w:num>
  <w:num w:numId="7" w16cid:durableId="711078761">
    <w:abstractNumId w:val="32"/>
  </w:num>
  <w:num w:numId="8" w16cid:durableId="961308553">
    <w:abstractNumId w:val="31"/>
  </w:num>
  <w:num w:numId="9" w16cid:durableId="1061828723">
    <w:abstractNumId w:val="12"/>
  </w:num>
  <w:num w:numId="10" w16cid:durableId="624509361">
    <w:abstractNumId w:val="13"/>
  </w:num>
  <w:num w:numId="11" w16cid:durableId="1451124222">
    <w:abstractNumId w:val="26"/>
  </w:num>
  <w:num w:numId="12" w16cid:durableId="1480003231">
    <w:abstractNumId w:val="28"/>
  </w:num>
  <w:num w:numId="13" w16cid:durableId="60757343">
    <w:abstractNumId w:val="5"/>
  </w:num>
  <w:num w:numId="14" w16cid:durableId="444471334">
    <w:abstractNumId w:val="4"/>
  </w:num>
  <w:num w:numId="15" w16cid:durableId="689186322">
    <w:abstractNumId w:val="25"/>
  </w:num>
  <w:num w:numId="16" w16cid:durableId="1944605700">
    <w:abstractNumId w:val="10"/>
  </w:num>
  <w:num w:numId="17" w16cid:durableId="169376779">
    <w:abstractNumId w:val="18"/>
  </w:num>
  <w:num w:numId="18" w16cid:durableId="68162123">
    <w:abstractNumId w:val="34"/>
  </w:num>
  <w:num w:numId="19" w16cid:durableId="1283027657">
    <w:abstractNumId w:val="2"/>
  </w:num>
  <w:num w:numId="20" w16cid:durableId="1789816631">
    <w:abstractNumId w:val="20"/>
  </w:num>
  <w:num w:numId="21" w16cid:durableId="1037655378">
    <w:abstractNumId w:val="15"/>
  </w:num>
  <w:num w:numId="22" w16cid:durableId="843401912">
    <w:abstractNumId w:val="6"/>
  </w:num>
  <w:num w:numId="23" w16cid:durableId="230893463">
    <w:abstractNumId w:val="14"/>
  </w:num>
  <w:num w:numId="24" w16cid:durableId="1235822636">
    <w:abstractNumId w:val="22"/>
  </w:num>
  <w:num w:numId="25" w16cid:durableId="712273054">
    <w:abstractNumId w:val="3"/>
  </w:num>
  <w:num w:numId="26" w16cid:durableId="1129201341">
    <w:abstractNumId w:val="16"/>
  </w:num>
  <w:num w:numId="27" w16cid:durableId="342632950">
    <w:abstractNumId w:val="19"/>
  </w:num>
  <w:num w:numId="28" w16cid:durableId="693726639">
    <w:abstractNumId w:val="24"/>
  </w:num>
  <w:num w:numId="29" w16cid:durableId="1692804642">
    <w:abstractNumId w:val="35"/>
  </w:num>
  <w:num w:numId="30" w16cid:durableId="1060053386">
    <w:abstractNumId w:val="8"/>
  </w:num>
  <w:num w:numId="31" w16cid:durableId="517502535">
    <w:abstractNumId w:val="27"/>
  </w:num>
  <w:num w:numId="32" w16cid:durableId="1843469027">
    <w:abstractNumId w:val="11"/>
  </w:num>
  <w:num w:numId="33" w16cid:durableId="1724711058">
    <w:abstractNumId w:val="29"/>
  </w:num>
  <w:num w:numId="34" w16cid:durableId="1457990094">
    <w:abstractNumId w:val="1"/>
  </w:num>
  <w:num w:numId="35" w16cid:durableId="1628311364">
    <w:abstractNumId w:val="23"/>
  </w:num>
  <w:num w:numId="36" w16cid:durableId="13811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C2A2A"/>
    <w:rsid w:val="000C4CC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0D73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7473B"/>
    <w:rsid w:val="00284ECB"/>
    <w:rsid w:val="00284ED3"/>
    <w:rsid w:val="00292DB3"/>
    <w:rsid w:val="002958F2"/>
    <w:rsid w:val="00295C9D"/>
    <w:rsid w:val="002A52ED"/>
    <w:rsid w:val="002A6065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36C52"/>
    <w:rsid w:val="00342BC2"/>
    <w:rsid w:val="0034397A"/>
    <w:rsid w:val="00354CEB"/>
    <w:rsid w:val="00356394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3529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649E4"/>
    <w:rsid w:val="004757B6"/>
    <w:rsid w:val="00475C90"/>
    <w:rsid w:val="004768C1"/>
    <w:rsid w:val="00493FC4"/>
    <w:rsid w:val="004A1646"/>
    <w:rsid w:val="004A3935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94D8D"/>
    <w:rsid w:val="005A484A"/>
    <w:rsid w:val="005B3C41"/>
    <w:rsid w:val="005D0758"/>
    <w:rsid w:val="005D09EA"/>
    <w:rsid w:val="005D1F73"/>
    <w:rsid w:val="005D4772"/>
    <w:rsid w:val="005E32B2"/>
    <w:rsid w:val="005F6E46"/>
    <w:rsid w:val="006024CC"/>
    <w:rsid w:val="006133D6"/>
    <w:rsid w:val="00613AD9"/>
    <w:rsid w:val="00620B56"/>
    <w:rsid w:val="00640C52"/>
    <w:rsid w:val="00645BA3"/>
    <w:rsid w:val="006554E6"/>
    <w:rsid w:val="006748D8"/>
    <w:rsid w:val="00680919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267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63443"/>
    <w:rsid w:val="008724E1"/>
    <w:rsid w:val="00872A6E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6AC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4B1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933DF"/>
    <w:rsid w:val="00AB4C51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1F02"/>
    <w:rsid w:val="00B52D68"/>
    <w:rsid w:val="00B57222"/>
    <w:rsid w:val="00B73D16"/>
    <w:rsid w:val="00B7758C"/>
    <w:rsid w:val="00B85CE7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55DF"/>
    <w:rsid w:val="00CF3C49"/>
    <w:rsid w:val="00D0451E"/>
    <w:rsid w:val="00D10168"/>
    <w:rsid w:val="00D2284D"/>
    <w:rsid w:val="00D279C6"/>
    <w:rsid w:val="00D3336A"/>
    <w:rsid w:val="00D370AC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B2F42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3D1"/>
    <w:rsid w:val="00F01CA7"/>
    <w:rsid w:val="00F131DF"/>
    <w:rsid w:val="00F233EB"/>
    <w:rsid w:val="00F25122"/>
    <w:rsid w:val="00F26474"/>
    <w:rsid w:val="00F36981"/>
    <w:rsid w:val="00F36CBD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22FA"/>
    <w:rsid w:val="00FA4F23"/>
    <w:rsid w:val="00FB069C"/>
    <w:rsid w:val="00FB34A6"/>
    <w:rsid w:val="00FB680F"/>
    <w:rsid w:val="00FE4C63"/>
    <w:rsid w:val="00FE7546"/>
    <w:rsid w:val="00FF1A1B"/>
    <w:rsid w:val="0B5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2"/>
  </w:style>
  <w:style w:type="paragraph" w:styleId="Footer">
    <w:name w:val="footer"/>
    <w:basedOn w:val="Normal"/>
    <w:link w:val="Foot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2"/>
  </w:style>
  <w:style w:type="character" w:customStyle="1" w:styleId="websearch-marked">
    <w:name w:val="web_search-marked"/>
    <w:basedOn w:val="DefaultParagraphFont"/>
    <w:rsid w:val="001777BF"/>
  </w:style>
  <w:style w:type="paragraph" w:styleId="Revision">
    <w:name w:val="Revision"/>
    <w:hidden/>
    <w:uiPriority w:val="99"/>
    <w:semiHidden/>
    <w:rsid w:val="007E1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5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555FE"/>
  </w:style>
  <w:style w:type="character" w:customStyle="1" w:styleId="eop">
    <w:name w:val="eop"/>
    <w:basedOn w:val="DefaultParagraphFont"/>
    <w:rsid w:val="004555FE"/>
  </w:style>
  <w:style w:type="character" w:styleId="UnresolvedMention">
    <w:name w:val="Unresolved Mention"/>
    <w:basedOn w:val="DefaultParagraphFont"/>
    <w:uiPriority w:val="99"/>
    <w:semiHidden/>
    <w:unhideWhenUsed/>
    <w:rsid w:val="0068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isa.europa.eu/news/enisa-news/wannacry-ransomware-first-ever-case-of-cyber-cooperation-at-eu-leve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Sara Tikel</cp:lastModifiedBy>
  <cp:revision>23</cp:revision>
  <dcterms:created xsi:type="dcterms:W3CDTF">2023-04-06T08:05:00Z</dcterms:created>
  <dcterms:modified xsi:type="dcterms:W3CDTF">2023-05-02T08:53:00Z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  <property fmtid="{D5CDD505-2E9C-101B-9397-08002B2CF9AE}" pid="3" name="GrammarlyDocumentId">
    <vt:lpwstr>308e47bd5d934a6a4976d50e072683e2f53cb7afb389f9a3c78ec7b8c60d9017</vt:lpwstr>
  </property>
</Properties>
</file>