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3FC4" w:rsidP="007A6687" w:rsidRDefault="00493FC4" w14:paraId="1E0BE01B" w14:textId="77777777">
      <w:pPr>
        <w:jc w:val="center"/>
        <w:rPr>
          <w:rFonts w:ascii="Times New Roman" w:hAnsi="Times New Roman" w:cs="Times New Roman"/>
          <w:b/>
          <w:lang w:val="en-GB"/>
        </w:rPr>
      </w:pPr>
    </w:p>
    <w:p w:rsidRPr="000108C8" w:rsidR="001F03B2" w:rsidP="007A6687" w:rsidRDefault="00475C90" w14:paraId="48A13936" w14:textId="11A3B9F5">
      <w:pPr>
        <w:jc w:val="center"/>
        <w:rPr>
          <w:rFonts w:ascii="Times New Roman" w:hAnsi="Times New Roman" w:cs="Times New Roman"/>
          <w:b/>
          <w:sz w:val="36"/>
          <w:szCs w:val="36"/>
          <w:lang w:val="en-GB"/>
        </w:rPr>
      </w:pPr>
      <w:r w:rsidRPr="000108C8">
        <w:rPr>
          <w:rFonts w:ascii="Times New Roman" w:hAnsi="Times New Roman" w:cs="Times New Roman"/>
          <w:b/>
          <w:sz w:val="36"/>
          <w:szCs w:val="36"/>
          <w:lang w:val="en-GB"/>
        </w:rPr>
        <w:t>RESTART</w:t>
      </w:r>
      <w:r w:rsidRPr="000108C8" w:rsidR="000F7582">
        <w:rPr>
          <w:rFonts w:ascii="Times New Roman" w:hAnsi="Times New Roman" w:cs="Times New Roman"/>
          <w:b/>
          <w:sz w:val="36"/>
          <w:szCs w:val="36"/>
          <w:lang w:val="en-GB"/>
        </w:rPr>
        <w:t xml:space="preserve">: </w:t>
      </w:r>
      <w:r w:rsidR="00C64023">
        <w:rPr>
          <w:rFonts w:ascii="Times New Roman" w:hAnsi="Times New Roman" w:cs="Times New Roman"/>
          <w:b/>
          <w:sz w:val="36"/>
          <w:szCs w:val="36"/>
          <w:lang w:val="en-GB"/>
        </w:rPr>
        <w:t>Odolnosť a tréning pre MSP</w:t>
      </w:r>
    </w:p>
    <w:p w:rsidR="000D0607" w:rsidP="007A6687" w:rsidRDefault="000D0607" w14:paraId="6C1C9871" w14:textId="77777777">
      <w:pPr>
        <w:jc w:val="center"/>
        <w:rPr>
          <w:rFonts w:ascii="Times New Roman" w:hAnsi="Times New Roman" w:cs="Times New Roman"/>
          <w:b/>
          <w:lang w:val="en-GB"/>
        </w:rPr>
      </w:pPr>
    </w:p>
    <w:p w:rsidRPr="000D0607" w:rsidR="000C5C67" w:rsidP="007A6687" w:rsidRDefault="00C64023" w14:paraId="2011205D" w14:textId="61E26ECC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Prípadová štúdia</w:t>
      </w:r>
    </w:p>
    <w:p w:rsidRPr="000D0607" w:rsidR="001F03B2" w:rsidP="007A6687" w:rsidRDefault="00475C90" w14:paraId="4C134642" w14:textId="344EAE33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(Proje</w:t>
      </w:r>
      <w:r w:rsidR="00C64023">
        <w:rPr>
          <w:rFonts w:ascii="Times New Roman" w:hAnsi="Times New Roman" w:cs="Times New Roman"/>
          <w:b/>
          <w:sz w:val="28"/>
          <w:szCs w:val="28"/>
          <w:lang w:val="en-GB"/>
        </w:rPr>
        <w:t>ktový výsledok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 </w:t>
      </w:r>
      <w:r w:rsidR="00C64023">
        <w:rPr>
          <w:rFonts w:ascii="Times New Roman" w:hAnsi="Times New Roman" w:cs="Times New Roman"/>
          <w:b/>
          <w:sz w:val="28"/>
          <w:szCs w:val="28"/>
          <w:lang w:val="en-GB"/>
        </w:rPr>
        <w:t>Úloha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3.1</w:t>
      </w:r>
      <w:r w:rsidRPr="000D0607" w:rsidR="008F7A6C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&amp; </w:t>
      </w:r>
      <w:r w:rsidR="00C64023">
        <w:rPr>
          <w:rFonts w:ascii="Times New Roman" w:hAnsi="Times New Roman" w:cs="Times New Roman"/>
          <w:b/>
          <w:sz w:val="28"/>
          <w:szCs w:val="28"/>
          <w:lang w:val="en-GB"/>
        </w:rPr>
        <w:t>Úloha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3.2</w:t>
      </w:r>
      <w:r w:rsidRPr="000D0607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</w:p>
    <w:p w:rsidR="00024CD4" w:rsidP="007A6687" w:rsidRDefault="00024CD4" w14:paraId="7B1AF94A" w14:textId="12C2CC4E">
      <w:pPr>
        <w:jc w:val="both"/>
        <w:rPr>
          <w:rFonts w:cstheme="minorHAnsi"/>
          <w:bCs/>
        </w:rPr>
      </w:pPr>
    </w:p>
    <w:tbl>
      <w:tblPr>
        <w:tblW w:w="901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7"/>
        <w:gridCol w:w="5624"/>
      </w:tblGrid>
      <w:tr w:rsidRPr="004555FE" w:rsidR="004555FE" w:rsidTr="7A90AD4B" w14:paraId="66753E1A" w14:textId="3E34DF70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555FE" w:rsidP="004555FE" w:rsidRDefault="00C64023" w14:paraId="37AC4238" w14:textId="461C22B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Autor</w:t>
            </w:r>
            <w:r w:rsidRPr="004555FE" w:rsidR="004555FE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B2F42" w:rsidR="004555FE" w:rsidP="004555FE" w:rsidRDefault="004555FE" w14:paraId="0D6C8EFA" w14:textId="2F96479B">
            <w:pPr>
              <w:jc w:val="both"/>
              <w:rPr>
                <w:rFonts w:cstheme="minorHAnsi"/>
                <w:bCs/>
                <w:iCs/>
              </w:rPr>
            </w:pPr>
            <w:r w:rsidRPr="00EB2F42">
              <w:rPr>
                <w:rFonts w:cstheme="minorHAnsi"/>
                <w:bCs/>
                <w:iCs/>
              </w:rPr>
              <w:t xml:space="preserve"> </w:t>
            </w:r>
            <w:r w:rsidR="00EB2F42">
              <w:rPr>
                <w:rFonts w:cstheme="minorHAnsi"/>
                <w:bCs/>
                <w:iCs/>
              </w:rPr>
              <w:t>Internet Web Solutions</w:t>
            </w:r>
          </w:p>
        </w:tc>
      </w:tr>
      <w:tr w:rsidRPr="004555FE" w:rsidR="004555FE" w:rsidTr="7A90AD4B" w14:paraId="61AF4020" w14:textId="18B5C4A5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  <w:hideMark/>
          </w:tcPr>
          <w:p w:rsidRPr="004555FE" w:rsidR="004555FE" w:rsidP="004D29F0" w:rsidRDefault="00C64023" w14:paraId="5292B825" w14:textId="776A5238">
            <w:pPr>
              <w:ind w:right="134"/>
              <w:jc w:val="both"/>
              <w:rPr>
                <w:rFonts w:ascii="Segoe UI" w:hAnsi="Segoe UI" w:eastAsia="Times New Roman" w:cs="Segoe UI"/>
                <w:b/>
                <w:sz w:val="18"/>
                <w:szCs w:val="18"/>
                <w:lang w:val="en-GB" w:eastAsia="en-GB"/>
              </w:rPr>
            </w:pPr>
            <w:r w:rsidRPr="005617CA">
              <w:rPr>
                <w:rFonts w:cstheme="minorHAnsi"/>
                <w:b/>
                <w:bCs/>
                <w:lang w:val="sk-SK"/>
              </w:rPr>
              <w:t>Názov modulu, ku ktorému sa prípadová štúdia viaže</w:t>
            </w:r>
            <w:r w:rsidRPr="004555FE">
              <w:rPr>
                <w:rFonts w:cstheme="minorHAnsi"/>
                <w:b/>
                <w:bCs/>
              </w:rPr>
              <w:t>:</w:t>
            </w:r>
            <w:r w:rsidRPr="004555FE" w:rsidR="004555F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EB2F42" w:rsidR="004555FE" w:rsidP="6CDC6894" w:rsidRDefault="00EB2F42" w14:paraId="1045ADC9" w14:textId="6097117B">
            <w:pPr>
              <w:jc w:val="both"/>
              <w:rPr>
                <w:rFonts w:cs="Calibri" w:cstheme="minorAscii"/>
              </w:rPr>
            </w:pPr>
            <w:r w:rsidRPr="7A90AD4B" w:rsidR="7A90AD4B">
              <w:rPr>
                <w:rFonts w:cs="Calibri" w:cstheme="minorAscii"/>
              </w:rPr>
              <w:t xml:space="preserve"> Module 3: </w:t>
            </w:r>
            <w:proofErr w:type="spellStart"/>
            <w:r w:rsidRPr="7A90AD4B" w:rsidR="7A90AD4B">
              <w:rPr>
                <w:rFonts w:cs="Calibri" w:cstheme="minorAscii"/>
              </w:rPr>
              <w:t>Kybernetická</w:t>
            </w:r>
            <w:proofErr w:type="spellEnd"/>
            <w:r w:rsidRPr="7A90AD4B" w:rsidR="7A90AD4B">
              <w:rPr>
                <w:rFonts w:cs="Calibri" w:cstheme="minorAscii"/>
              </w:rPr>
              <w:t xml:space="preserve"> </w:t>
            </w:r>
            <w:proofErr w:type="spellStart"/>
            <w:r w:rsidRPr="7A90AD4B" w:rsidR="7A90AD4B">
              <w:rPr>
                <w:rFonts w:cs="Calibri" w:cstheme="minorAscii"/>
              </w:rPr>
              <w:t>bezpečnosť</w:t>
            </w:r>
            <w:proofErr w:type="spellEnd"/>
            <w:r w:rsidRPr="7A90AD4B" w:rsidR="7A90AD4B">
              <w:rPr>
                <w:rFonts w:cs="Calibri" w:cstheme="minorAscii"/>
              </w:rPr>
              <w:t xml:space="preserve"> v </w:t>
            </w:r>
            <w:r w:rsidRPr="7A90AD4B" w:rsidR="7A90AD4B">
              <w:rPr>
                <w:rFonts w:cs="Calibri" w:cstheme="minorAscii"/>
              </w:rPr>
              <w:t>(home) office</w:t>
            </w:r>
          </w:p>
        </w:tc>
      </w:tr>
      <w:tr w:rsidRPr="004649E4" w:rsidR="004D29F0" w:rsidTr="7A90AD4B" w14:paraId="761783B0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D29F0" w:rsidP="004D29F0" w:rsidRDefault="00C64023" w14:paraId="2E77686B" w14:textId="660370FB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Názov prípadovej štúdie</w:t>
            </w:r>
            <w:r w:rsidRPr="004D29F0" w:rsid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649E4" w:rsidR="004D29F0" w:rsidP="004555FE" w:rsidRDefault="004649E4" w14:paraId="35ED926F" w14:textId="694AE4CA">
            <w:pPr>
              <w:jc w:val="both"/>
              <w:rPr>
                <w:rFonts w:cstheme="minorHAnsi"/>
                <w:bCs/>
                <w:iCs/>
                <w:lang w:val="en-GB"/>
              </w:rPr>
            </w:pPr>
            <w:r w:rsidRPr="004649E4">
              <w:rPr>
                <w:rFonts w:cstheme="minorHAnsi"/>
                <w:bCs/>
                <w:iCs/>
                <w:lang w:val="en-GB"/>
              </w:rPr>
              <w:t xml:space="preserve">WannaCry: </w:t>
            </w:r>
            <w:r w:rsidR="00C64023">
              <w:rPr>
                <w:rFonts w:cstheme="minorHAnsi"/>
                <w:bCs/>
                <w:iCs/>
                <w:lang w:val="en-GB"/>
              </w:rPr>
              <w:t>Dôležitosť aktualizácií</w:t>
            </w:r>
          </w:p>
        </w:tc>
      </w:tr>
      <w:tr w:rsidRPr="00B85CE7" w:rsidR="004D29F0" w:rsidTr="7A90AD4B" w14:paraId="00C5E36D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D29F0" w:rsidP="7A90AD4B" w:rsidRDefault="00C64023" w14:paraId="3D595A54" w14:textId="7E514DEB">
            <w:pPr>
              <w:jc w:val="left"/>
              <w:rPr>
                <w:rFonts w:cs="Calibri" w:cstheme="minorAscii"/>
                <w:b w:val="1"/>
                <w:bCs w:val="1"/>
              </w:rPr>
            </w:pPr>
            <w:proofErr w:type="spellStart"/>
            <w:r w:rsidRPr="7A90AD4B" w:rsidR="7A90AD4B">
              <w:rPr>
                <w:rFonts w:cs="Calibri" w:cstheme="minorAscii"/>
                <w:b w:val="1"/>
                <w:bCs w:val="1"/>
              </w:rPr>
              <w:t>Prípadová</w:t>
            </w:r>
            <w:proofErr w:type="spellEnd"/>
            <w:r w:rsidRPr="7A90AD4B" w:rsidR="7A90AD4B">
              <w:rPr>
                <w:rFonts w:cs="Calibri" w:cstheme="minorAscii"/>
                <w:b w:val="1"/>
                <w:bCs w:val="1"/>
              </w:rPr>
              <w:t xml:space="preserve"> </w:t>
            </w:r>
            <w:proofErr w:type="spellStart"/>
            <w:r w:rsidRPr="7A90AD4B" w:rsidR="7A90AD4B">
              <w:rPr>
                <w:rFonts w:cs="Calibri" w:cstheme="minorAscii"/>
                <w:b w:val="1"/>
                <w:bCs w:val="1"/>
              </w:rPr>
              <w:t>štúdia</w:t>
            </w:r>
            <w:proofErr w:type="spellEnd"/>
            <w:r w:rsidRPr="7A90AD4B" w:rsidR="7A90AD4B">
              <w:rPr>
                <w:rFonts w:cs="Calibri" w:cstheme="minorAscii"/>
                <w:b w:val="1"/>
                <w:bCs w:val="1"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820EC9" w:rsidR="00820EC9" w:rsidP="7A90AD4B" w:rsidRDefault="00820EC9" w14:paraId="6E153909" w14:textId="7396D3C9">
            <w:pPr>
              <w:jc w:val="both"/>
              <w:rPr>
                <w:lang w:val="sk-SK"/>
              </w:rPr>
            </w:pPr>
            <w:r w:rsidRPr="7A90AD4B" w:rsidR="7A90AD4B">
              <w:rPr>
                <w:rStyle w:val="rynqvb"/>
                <w:lang w:val="sk-SK"/>
              </w:rPr>
              <w:t xml:space="preserve">Agentúra Európskej únie pre kybernetickú bezpečnosť oznámila v máji 2017 prvý prípad celoeurópskej kybernetickej spolupráce, pri ktorej spolupracovala s niekoľkými členskými štátmi pomocou štandardných operačných postupov EÚ. Túto spoluprácu však </w:t>
            </w:r>
            <w:r w:rsidRPr="7A90AD4B" w:rsidR="7A90AD4B">
              <w:rPr>
                <w:rStyle w:val="rynqvb"/>
                <w:lang w:val="sk-SK"/>
              </w:rPr>
              <w:t>vyvolala</w:t>
            </w:r>
            <w:r w:rsidRPr="7A90AD4B" w:rsidR="7A90AD4B">
              <w:rPr>
                <w:rStyle w:val="rynqvb"/>
                <w:lang w:val="sk-SK"/>
              </w:rPr>
              <w:t xml:space="preserve"> komplikovaná situácia, ktorú vygeneroval masívny škodlivý softvér (</w:t>
            </w:r>
            <w:proofErr w:type="spellStart"/>
            <w:r w:rsidRPr="7A90AD4B" w:rsidR="7A90AD4B">
              <w:rPr>
                <w:rStyle w:val="rynqvb"/>
                <w:lang w:val="sk-SK"/>
              </w:rPr>
              <w:t>ransomvér</w:t>
            </w:r>
            <w:proofErr w:type="spellEnd"/>
            <w:r w:rsidRPr="7A90AD4B" w:rsidR="7A90AD4B">
              <w:rPr>
                <w:rStyle w:val="rynqvb"/>
                <w:lang w:val="sk-SK"/>
              </w:rPr>
              <w:t>).</w:t>
            </w:r>
          </w:p>
          <w:p w:rsidRPr="00820EC9" w:rsidR="00820EC9" w:rsidP="7A90AD4B" w:rsidRDefault="00820EC9" w14:paraId="03B8AD72" w14:textId="4FB7991A">
            <w:pPr>
              <w:jc w:val="both"/>
              <w:rPr>
                <w:rFonts w:cs="Calibri" w:cstheme="minorAscii"/>
                <w:lang w:val="sk-SK"/>
              </w:rPr>
            </w:pPr>
            <w:r w:rsidRPr="7A90AD4B" w:rsidR="7A90AD4B">
              <w:rPr>
                <w:rStyle w:val="rynqvb"/>
                <w:lang w:val="sk-SK"/>
              </w:rPr>
              <w:t xml:space="preserve">Podľa tréningových materiálov projektu RESTART je </w:t>
            </w:r>
            <w:proofErr w:type="spellStart"/>
            <w:r w:rsidRPr="7A90AD4B" w:rsidR="7A90AD4B">
              <w:rPr>
                <w:rStyle w:val="rynqvb"/>
                <w:lang w:val="sk-SK"/>
              </w:rPr>
              <w:t>ransomvér</w:t>
            </w:r>
            <w:proofErr w:type="spellEnd"/>
            <w:r w:rsidRPr="7A90AD4B" w:rsidR="7A90AD4B">
              <w:rPr>
                <w:rStyle w:val="rynqvb"/>
                <w:lang w:val="sk-SK"/>
              </w:rPr>
              <w:t xml:space="preserve"> nebezpečným typom </w:t>
            </w:r>
            <w:proofErr w:type="spellStart"/>
            <w:r w:rsidRPr="7A90AD4B" w:rsidR="7A90AD4B">
              <w:rPr>
                <w:rStyle w:val="rynqvb"/>
                <w:lang w:val="sk-SK"/>
              </w:rPr>
              <w:t>malvéru</w:t>
            </w:r>
            <w:proofErr w:type="spellEnd"/>
            <w:r w:rsidRPr="7A90AD4B" w:rsidR="7A90AD4B">
              <w:rPr>
                <w:rStyle w:val="rynqvb"/>
                <w:lang w:val="sk-SK"/>
              </w:rPr>
              <w:t xml:space="preserve">, ktorý zašifruje súbory na pevnom disku zariadenia a obmedzí prístup </w:t>
            </w:r>
            <w:r w:rsidRPr="7A90AD4B" w:rsidR="7A90AD4B">
              <w:rPr>
                <w:rStyle w:val="rynqvb"/>
                <w:lang w:val="sk-SK"/>
              </w:rPr>
              <w:t>používateľovi, pričom výmenou za dešifrovanie súborov požaduje výkupné, zvyčajne v kryptomenách.</w:t>
            </w:r>
          </w:p>
          <w:p w:rsidRPr="0027473B" w:rsidR="004D29F0" w:rsidP="7A90AD4B" w:rsidRDefault="00820EC9" w14:paraId="73C8BFA6" w14:textId="6ED3480C">
            <w:pPr>
              <w:jc w:val="left"/>
              <w:rPr>
                <w:rFonts w:cs="Calibri" w:cstheme="minorAscii"/>
                <w:b w:val="1"/>
                <w:bCs w:val="1"/>
                <w:lang w:val="es-ES"/>
              </w:rPr>
            </w:pPr>
            <w:proofErr w:type="spellStart"/>
            <w:r w:rsidRPr="7A90AD4B" w:rsidR="7A90AD4B">
              <w:rPr>
                <w:rFonts w:cs="Calibri" w:cstheme="minorAscii"/>
                <w:b w:val="1"/>
                <w:bCs w:val="1"/>
                <w:lang w:val="es-ES"/>
              </w:rPr>
              <w:t>Čo</w:t>
            </w:r>
            <w:proofErr w:type="spellEnd"/>
            <w:r w:rsidRPr="7A90AD4B" w:rsidR="7A90AD4B">
              <w:rPr>
                <w:rFonts w:cs="Calibri" w:cstheme="minorAscii"/>
                <w:b w:val="1"/>
                <w:bCs w:val="1"/>
                <w:lang w:val="es-ES"/>
              </w:rPr>
              <w:t xml:space="preserve"> </w:t>
            </w:r>
            <w:proofErr w:type="spellStart"/>
            <w:r w:rsidRPr="7A90AD4B" w:rsidR="7A90AD4B">
              <w:rPr>
                <w:rFonts w:cs="Calibri" w:cstheme="minorAscii"/>
                <w:b w:val="1"/>
                <w:bCs w:val="1"/>
                <w:lang w:val="es-ES"/>
              </w:rPr>
              <w:t>sa</w:t>
            </w:r>
            <w:proofErr w:type="spellEnd"/>
            <w:r w:rsidRPr="7A90AD4B" w:rsidR="7A90AD4B">
              <w:rPr>
                <w:rFonts w:cs="Calibri" w:cstheme="minorAscii"/>
                <w:b w:val="1"/>
                <w:bCs w:val="1"/>
                <w:lang w:val="es-ES"/>
              </w:rPr>
              <w:t xml:space="preserve"> </w:t>
            </w:r>
            <w:proofErr w:type="spellStart"/>
            <w:r w:rsidRPr="7A90AD4B" w:rsidR="7A90AD4B">
              <w:rPr>
                <w:rFonts w:cs="Calibri" w:cstheme="minorAscii"/>
                <w:b w:val="1"/>
                <w:bCs w:val="1"/>
                <w:lang w:val="es-ES"/>
              </w:rPr>
              <w:t>stalo</w:t>
            </w:r>
            <w:proofErr w:type="spellEnd"/>
            <w:r w:rsidRPr="7A90AD4B" w:rsidR="7A90AD4B">
              <w:rPr>
                <w:rFonts w:cs="Calibri" w:cstheme="minorAscii"/>
                <w:b w:val="1"/>
                <w:bCs w:val="1"/>
                <w:lang w:val="es-ES"/>
              </w:rPr>
              <w:t>?</w:t>
            </w:r>
          </w:p>
          <w:p w:rsidRPr="00820EC9" w:rsidR="00820EC9" w:rsidP="7A90AD4B" w:rsidRDefault="00820EC9" w14:paraId="7A1333FE" w14:textId="12A19659">
            <w:pPr>
              <w:jc w:val="left"/>
              <w:rPr>
                <w:rFonts w:cs="Calibri" w:cstheme="minorAscii"/>
                <w:lang w:val="sk-SK"/>
              </w:rPr>
            </w:pPr>
            <w:r w:rsidRPr="7A90AD4B" w:rsidR="7A90AD4B">
              <w:rPr>
                <w:rStyle w:val="rynqvb"/>
                <w:lang w:val="sk-SK"/>
              </w:rPr>
              <w:t xml:space="preserve">V piatok 12. mája 2017 došlo k udalosti, ktorá zasiahla tisíce počítačov po celom svete: </w:t>
            </w:r>
            <w:proofErr w:type="spellStart"/>
            <w:r w:rsidRPr="7A90AD4B" w:rsidR="7A90AD4B">
              <w:rPr>
                <w:rStyle w:val="rynqvb"/>
                <w:lang w:val="sk-SK"/>
              </w:rPr>
              <w:t>ransomvérový</w:t>
            </w:r>
            <w:proofErr w:type="spellEnd"/>
            <w:r w:rsidRPr="7A90AD4B" w:rsidR="7A90AD4B">
              <w:rPr>
                <w:rStyle w:val="rynqvb"/>
                <w:lang w:val="sk-SK"/>
              </w:rPr>
              <w:t xml:space="preserve"> útok „</w:t>
            </w:r>
            <w:proofErr w:type="spellStart"/>
            <w:r w:rsidRPr="7A90AD4B" w:rsidR="7A90AD4B">
              <w:rPr>
                <w:rStyle w:val="rynqvb"/>
                <w:lang w:val="sk-SK"/>
              </w:rPr>
              <w:t>WannaCry</w:t>
            </w:r>
            <w:proofErr w:type="spellEnd"/>
            <w:r w:rsidRPr="7A90AD4B" w:rsidR="7A90AD4B">
              <w:rPr>
                <w:rStyle w:val="rynqvb"/>
                <w:lang w:val="sk-SK"/>
              </w:rPr>
              <w:t>“. Len v prvých hodinách útoku bolo zasiahnutých viac ako 190 000 počítačov v 150 krajinách vrátane sektorov kritickej infraštruktúry a operátorov, ako je zdravotníctvo, doprava, školstvo, energetika, financie a telekomunikácie, ako aj výrobné závody v niekoľkých krajinách EÚ. Postihlo to všetky výrobné linky.</w:t>
            </w:r>
          </w:p>
          <w:p w:rsidRPr="00547201" w:rsidR="00547201" w:rsidP="7A90AD4B" w:rsidRDefault="00547201" w14:paraId="1FA4246A" w14:textId="64DEFE83">
            <w:pPr>
              <w:jc w:val="left"/>
              <w:rPr>
                <w:rFonts w:cs="Calibri" w:cstheme="minorAscii"/>
                <w:lang w:val="sk-SK"/>
              </w:rPr>
            </w:pPr>
            <w:r w:rsidRPr="7A90AD4B" w:rsidR="7A90AD4B">
              <w:rPr>
                <w:rStyle w:val="rynqvb"/>
                <w:lang w:val="sk-SK"/>
              </w:rPr>
              <w:t>Stalo sa tak po tom, čo sa na obrazovkách ich počítačov objavila správa, že ich systémy a súbory budú zablokované, kým nebude zaplatené výkupné.</w:t>
            </w:r>
          </w:p>
          <w:p w:rsidRPr="005039D3" w:rsidR="004649E4" w:rsidP="7A90AD4B" w:rsidRDefault="00547201" w14:paraId="015068C9" w14:textId="2E5A772D">
            <w:pPr>
              <w:jc w:val="left"/>
              <w:rPr>
                <w:rFonts w:cs="Calibri" w:cstheme="minorAscii"/>
                <w:b w:val="1"/>
                <w:bCs w:val="1"/>
                <w:lang w:val="sk-SK"/>
              </w:rPr>
            </w:pPr>
            <w:r w:rsidRPr="7A90AD4B" w:rsidR="7A90AD4B">
              <w:rPr>
                <w:rFonts w:cs="Calibri" w:cstheme="minorAscii"/>
                <w:b w:val="1"/>
                <w:bCs w:val="1"/>
                <w:lang w:val="sk-SK"/>
              </w:rPr>
              <w:t>Prečo sa to stalo?</w:t>
            </w:r>
          </w:p>
          <w:p w:rsidRPr="005039D3" w:rsidR="005039D3" w:rsidP="7A90AD4B" w:rsidRDefault="005039D3" w14:paraId="46C0BAEC" w14:textId="35FB31BD">
            <w:pPr>
              <w:jc w:val="left"/>
              <w:rPr>
                <w:rFonts w:cs="Calibri" w:cstheme="minorAscii"/>
                <w:lang w:val="sk-SK"/>
              </w:rPr>
            </w:pPr>
            <w:proofErr w:type="spellStart"/>
            <w:r w:rsidRPr="7A90AD4B" w:rsidR="7A90AD4B">
              <w:rPr>
                <w:rStyle w:val="rynqvb"/>
                <w:lang w:val="sk-SK"/>
              </w:rPr>
              <w:t>WannaCry</w:t>
            </w:r>
            <w:proofErr w:type="spellEnd"/>
            <w:r w:rsidRPr="7A90AD4B" w:rsidR="7A90AD4B">
              <w:rPr>
                <w:rStyle w:val="rynqvb"/>
                <w:lang w:val="sk-SK"/>
              </w:rPr>
              <w:t xml:space="preserve"> ovplyvnilo zariadenia s operačným systémom Microsoft Windows zneužitím zraniteľnosti MS17-010 prostredníctvom kódu „</w:t>
            </w:r>
            <w:proofErr w:type="spellStart"/>
            <w:r w:rsidRPr="7A90AD4B" w:rsidR="7A90AD4B">
              <w:rPr>
                <w:rStyle w:val="rynqvb"/>
                <w:lang w:val="sk-SK"/>
              </w:rPr>
              <w:t>EternalBlue</w:t>
            </w:r>
            <w:proofErr w:type="spellEnd"/>
            <w:r w:rsidRPr="7A90AD4B" w:rsidR="7A90AD4B">
              <w:rPr>
                <w:rStyle w:val="rynqvb"/>
                <w:lang w:val="sk-SK"/>
              </w:rPr>
              <w:t>“, ktorý používajú hackeri.</w:t>
            </w:r>
          </w:p>
          <w:p w:rsidRPr="005039D3" w:rsidR="005039D3" w:rsidP="7A90AD4B" w:rsidRDefault="005039D3" w14:paraId="500F1492" w14:textId="5CA15285">
            <w:pPr>
              <w:jc w:val="left"/>
              <w:rPr>
                <w:rFonts w:cs="Calibri" w:cstheme="minorAscii"/>
                <w:lang w:val="sk-SK"/>
              </w:rPr>
            </w:pPr>
            <w:r w:rsidRPr="7A90AD4B" w:rsidR="7A90AD4B">
              <w:rPr>
                <w:rStyle w:val="rynqvb"/>
                <w:lang w:val="sk-SK"/>
              </w:rPr>
              <w:t xml:space="preserve">Hoci </w:t>
            </w:r>
            <w:proofErr w:type="spellStart"/>
            <w:r w:rsidRPr="7A90AD4B" w:rsidR="7A90AD4B">
              <w:rPr>
                <w:rStyle w:val="rynqvb"/>
                <w:lang w:val="sk-SK"/>
              </w:rPr>
              <w:t>ransomvér</w:t>
            </w:r>
            <w:proofErr w:type="spellEnd"/>
            <w:r w:rsidRPr="7A90AD4B" w:rsidR="7A90AD4B">
              <w:rPr>
                <w:rStyle w:val="rynqvb"/>
                <w:lang w:val="sk-SK"/>
              </w:rPr>
              <w:t xml:space="preserve"> zvyčajne vyžaduje interakciu používateľa s niečím, ako je sťahovanie infikovanej prílohy e-mailu alebo návšteva webovej stránky, ktorá sťahuje </w:t>
            </w:r>
            <w:proofErr w:type="spellStart"/>
            <w:r w:rsidRPr="7A90AD4B" w:rsidR="7A90AD4B">
              <w:rPr>
                <w:rStyle w:val="rynqvb"/>
                <w:lang w:val="sk-SK"/>
              </w:rPr>
              <w:t>malvér</w:t>
            </w:r>
            <w:proofErr w:type="spellEnd"/>
            <w:r w:rsidRPr="7A90AD4B" w:rsidR="7A90AD4B">
              <w:rPr>
                <w:rStyle w:val="rynqvb"/>
                <w:lang w:val="sk-SK"/>
              </w:rPr>
              <w:t xml:space="preserve"> do zariadenia, </w:t>
            </w:r>
            <w:proofErr w:type="spellStart"/>
            <w:r w:rsidRPr="7A90AD4B" w:rsidR="7A90AD4B">
              <w:rPr>
                <w:rStyle w:val="rynqvb"/>
                <w:lang w:val="sk-SK"/>
              </w:rPr>
              <w:t>WannaCry</w:t>
            </w:r>
            <w:proofErr w:type="spellEnd"/>
            <w:r w:rsidRPr="7A90AD4B" w:rsidR="7A90AD4B">
              <w:rPr>
                <w:rStyle w:val="rynqvb"/>
                <w:lang w:val="sk-SK"/>
              </w:rPr>
              <w:t xml:space="preserve"> na infikovanie vyžadovalo iba to, aby zariadenie malo zraniteľnú verziu systému Windows.</w:t>
            </w:r>
          </w:p>
          <w:p w:rsidRPr="005039D3" w:rsidR="005039D3" w:rsidP="7A90AD4B" w:rsidRDefault="005039D3" w14:paraId="769E89E3" w14:textId="0913D372">
            <w:pPr>
              <w:jc w:val="left"/>
              <w:rPr>
                <w:rFonts w:cs="Calibri" w:cstheme="minorAscii"/>
                <w:lang w:val="sk-SK"/>
              </w:rPr>
            </w:pPr>
            <w:r w:rsidRPr="7A90AD4B" w:rsidR="7A90AD4B">
              <w:rPr>
                <w:rStyle w:val="rynqvb"/>
                <w:lang w:val="sk-SK"/>
              </w:rPr>
              <w:t>Šírenie bolo veľmi rýchle, keďže využíval protokol s názvom „SMBv1“, ktorý komunikoval s tlačiarňami a zariadeniami pripojenými k rovnakej sieti, aby pokračoval v infikovaní, a hlavne zneprístupnil súbory a blokoval počítačové programy, pričom výmenou za obnovenie normálnej činnosti požadoval výkupné.</w:t>
            </w:r>
          </w:p>
          <w:p w:rsidRPr="004649E4" w:rsidR="004649E4" w:rsidP="7A90AD4B" w:rsidRDefault="005039D3" w14:paraId="2D7A7558" w14:textId="334D8C82">
            <w:pPr>
              <w:jc w:val="left"/>
              <w:rPr>
                <w:rFonts w:cs="Calibri" w:cstheme="minorAscii"/>
                <w:b w:val="1"/>
                <w:bCs w:val="1"/>
              </w:rPr>
            </w:pPr>
            <w:r w:rsidRPr="7A90AD4B" w:rsidR="7A90AD4B">
              <w:rPr>
                <w:rFonts w:cs="Calibri" w:cstheme="minorAscii"/>
                <w:b w:val="1"/>
                <w:bCs w:val="1"/>
              </w:rPr>
              <w:t xml:space="preserve">Ako </w:t>
            </w:r>
            <w:proofErr w:type="spellStart"/>
            <w:r w:rsidRPr="7A90AD4B" w:rsidR="7A90AD4B">
              <w:rPr>
                <w:rFonts w:cs="Calibri" w:cstheme="minorAscii"/>
                <w:b w:val="1"/>
                <w:bCs w:val="1"/>
              </w:rPr>
              <w:t>sa</w:t>
            </w:r>
            <w:proofErr w:type="spellEnd"/>
            <w:r w:rsidRPr="7A90AD4B" w:rsidR="7A90AD4B">
              <w:rPr>
                <w:rFonts w:cs="Calibri" w:cstheme="minorAscii"/>
                <w:b w:val="1"/>
                <w:bCs w:val="1"/>
              </w:rPr>
              <w:t xml:space="preserve"> </w:t>
            </w:r>
            <w:proofErr w:type="spellStart"/>
            <w:r w:rsidRPr="7A90AD4B" w:rsidR="7A90AD4B">
              <w:rPr>
                <w:rFonts w:cs="Calibri" w:cstheme="minorAscii"/>
                <w:b w:val="1"/>
                <w:bCs w:val="1"/>
              </w:rPr>
              <w:t>tomu</w:t>
            </w:r>
            <w:proofErr w:type="spellEnd"/>
            <w:r w:rsidRPr="7A90AD4B" w:rsidR="7A90AD4B">
              <w:rPr>
                <w:rFonts w:cs="Calibri" w:cstheme="minorAscii"/>
                <w:b w:val="1"/>
                <w:bCs w:val="1"/>
              </w:rPr>
              <w:t xml:space="preserve"> dalo </w:t>
            </w:r>
            <w:proofErr w:type="spellStart"/>
            <w:r w:rsidRPr="7A90AD4B" w:rsidR="7A90AD4B">
              <w:rPr>
                <w:rFonts w:cs="Calibri" w:cstheme="minorAscii"/>
                <w:b w:val="1"/>
                <w:bCs w:val="1"/>
              </w:rPr>
              <w:t>predísť</w:t>
            </w:r>
            <w:proofErr w:type="spellEnd"/>
            <w:r w:rsidRPr="7A90AD4B" w:rsidR="7A90AD4B">
              <w:rPr>
                <w:rFonts w:cs="Calibri" w:cstheme="minorAscii"/>
                <w:b w:val="1"/>
                <w:bCs w:val="1"/>
              </w:rPr>
              <w:t>?</w:t>
            </w:r>
          </w:p>
          <w:p w:rsidRPr="005039D3" w:rsidR="005039D3" w:rsidP="7A90AD4B" w:rsidRDefault="005039D3" w14:paraId="6CD29365" w14:textId="6443DC5A">
            <w:pPr>
              <w:jc w:val="left"/>
              <w:rPr>
                <w:rFonts w:cs="Calibri" w:cstheme="minorAscii"/>
                <w:lang w:val="sk-SK"/>
              </w:rPr>
            </w:pPr>
            <w:r w:rsidRPr="7A90AD4B" w:rsidR="7A90AD4B">
              <w:rPr>
                <w:rStyle w:val="rynqvb"/>
                <w:lang w:val="sk-SK"/>
              </w:rPr>
              <w:t xml:space="preserve">Dnes vieme, že keď sa toto všetko stalo, Windows už mal aktualizovanú verziu, ktorá opravila zraniteľnosť, ktorú </w:t>
            </w:r>
            <w:proofErr w:type="spellStart"/>
            <w:r w:rsidRPr="7A90AD4B" w:rsidR="7A90AD4B">
              <w:rPr>
                <w:rStyle w:val="rynqvb"/>
                <w:lang w:val="sk-SK"/>
              </w:rPr>
              <w:t>Wannacry</w:t>
            </w:r>
            <w:proofErr w:type="spellEnd"/>
            <w:r w:rsidRPr="7A90AD4B" w:rsidR="7A90AD4B">
              <w:rPr>
                <w:rStyle w:val="rynqvb"/>
                <w:lang w:val="sk-SK"/>
              </w:rPr>
              <w:t xml:space="preserve"> zneužíval. Najjednoduchším spôsobom, ako sa tomu vyhnúť, by bolo mať najnovšie bezpečnostné aktualizácie a aktualizovaný antivírus. Okrem toho aj ďalšie opatrenia pomáhajú znižovať alebo úplne eliminovať vplyv</w:t>
            </w:r>
            <w:r w:rsidRPr="7A90AD4B" w:rsidR="7A90AD4B">
              <w:rPr>
                <w:rStyle w:val="rynqvb"/>
                <w:lang w:val="sk-SK"/>
              </w:rPr>
              <w:t xml:space="preserve"> kybernetických rizík</w:t>
            </w:r>
            <w:r w:rsidRPr="7A90AD4B" w:rsidR="7A90AD4B">
              <w:rPr>
                <w:rStyle w:val="rynqvb"/>
                <w:lang w:val="sk-SK"/>
              </w:rPr>
              <w:t>:</w:t>
            </w:r>
          </w:p>
          <w:p w:rsidRPr="005039D3" w:rsidR="005039D3" w:rsidP="7A90AD4B" w:rsidRDefault="005039D3" w14:paraId="5B16689F" w14:textId="77777777">
            <w:pPr>
              <w:pStyle w:val="Odsekzoznamu"/>
              <w:numPr>
                <w:ilvl w:val="0"/>
                <w:numId w:val="34"/>
              </w:numPr>
              <w:jc w:val="left"/>
              <w:rPr>
                <w:rStyle w:val="rynqvb"/>
                <w:rFonts w:cs="Calibri" w:cstheme="minorAscii"/>
                <w:lang w:val="en-GB"/>
              </w:rPr>
            </w:pPr>
            <w:r w:rsidRPr="7A90AD4B" w:rsidR="7A90AD4B">
              <w:rPr>
                <w:rStyle w:val="rynqvb"/>
                <w:lang w:val="sk-SK"/>
              </w:rPr>
              <w:t>Pravidelné zálohovanie všetkých súborov.</w:t>
            </w:r>
          </w:p>
          <w:p w:rsidRPr="005039D3" w:rsidR="005039D3" w:rsidP="7A90AD4B" w:rsidRDefault="005039D3" w14:paraId="76220BD5" w14:textId="77777777">
            <w:pPr>
              <w:pStyle w:val="Odsekzoznamu"/>
              <w:numPr>
                <w:ilvl w:val="0"/>
                <w:numId w:val="34"/>
              </w:numPr>
              <w:jc w:val="left"/>
              <w:rPr>
                <w:rStyle w:val="rynqvb"/>
                <w:rFonts w:cs="Calibri" w:cstheme="minorAscii"/>
                <w:lang w:val="en-GB"/>
              </w:rPr>
            </w:pPr>
            <w:r w:rsidRPr="7A90AD4B" w:rsidR="7A90AD4B">
              <w:rPr>
                <w:rStyle w:val="rynqvb"/>
                <w:lang w:val="sk-SK"/>
              </w:rPr>
              <w:t xml:space="preserve">Vedenie kampaní na zvyšovanie povedomia o kybernetickej bezpečnosti so zamestnancami. </w:t>
            </w:r>
          </w:p>
          <w:p w:rsidRPr="00645BA3" w:rsidR="005039D3" w:rsidP="7A90AD4B" w:rsidRDefault="005039D3" w14:paraId="27EB165E" w14:textId="2CB4B7C8">
            <w:pPr>
              <w:pStyle w:val="Odsekzoznamu"/>
              <w:numPr>
                <w:ilvl w:val="0"/>
                <w:numId w:val="34"/>
              </w:numPr>
              <w:jc w:val="left"/>
              <w:rPr>
                <w:rFonts w:cs="Calibri" w:cstheme="minorAscii"/>
                <w:lang w:val="en-GB"/>
              </w:rPr>
            </w:pPr>
            <w:r w:rsidRPr="7A90AD4B" w:rsidR="7A90AD4B">
              <w:rPr>
                <w:rStyle w:val="rynqvb"/>
                <w:lang w:val="sk-SK"/>
              </w:rPr>
              <w:t>V prípade kybernetického útoku neplaťte výkupné, ale kontaktujte odbornú pomoc, pretože platba nezaručuje, že používatelia budú mať opäť prístup k svojim súborom.</w:t>
            </w:r>
          </w:p>
        </w:tc>
      </w:tr>
      <w:tr w:rsidRPr="004555FE" w:rsidR="004D29F0" w:rsidTr="7A90AD4B" w14:paraId="208996DD" w14:textId="77777777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D29F0" w:rsidP="004555FE" w:rsidRDefault="00C64023" w14:paraId="02D03FC2" w14:textId="4953F5F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Odkaz</w:t>
            </w:r>
            <w:r w:rsidRPr="004D29F0" w:rsidR="004D29F0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680919" w:rsidR="004D29F0" w:rsidP="004555FE" w:rsidRDefault="00A074D0" w14:paraId="0A2AA1B0" w14:textId="035EEF0B">
            <w:pPr>
              <w:jc w:val="both"/>
              <w:rPr>
                <w:rFonts w:cstheme="minorHAnsi"/>
                <w:bCs/>
                <w:iCs/>
              </w:rPr>
            </w:pPr>
            <w:hyperlink w:history="1" r:id="rId11">
              <w:r w:rsidRPr="00680919" w:rsidR="00680919">
                <w:rPr>
                  <w:rStyle w:val="Hypertextovprepojenie"/>
                  <w:rFonts w:cstheme="minorHAnsi"/>
                  <w:bCs/>
                  <w:iCs/>
                </w:rPr>
                <w:t>https://www.enisa.europa.eu/news/enisa-news/wannacry-ransomware-first-ever-case-of-cyber-cooperation-at-eu-level</w:t>
              </w:r>
            </w:hyperlink>
            <w:r w:rsidRPr="00680919" w:rsidR="00680919">
              <w:rPr>
                <w:rFonts w:cstheme="minorHAnsi"/>
                <w:bCs/>
                <w:iCs/>
              </w:rPr>
              <w:t xml:space="preserve"> </w:t>
            </w:r>
          </w:p>
        </w:tc>
      </w:tr>
      <w:tr w:rsidRPr="004555FE" w:rsidR="004555FE" w:rsidTr="7A90AD4B" w14:paraId="38846A9F" w14:textId="3D05AC26">
        <w:trPr>
          <w:trHeight w:val="420"/>
        </w:trPr>
        <w:tc>
          <w:tcPr>
            <w:tcW w:w="33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555FE" w:rsidP="004555FE" w:rsidRDefault="00C64023" w14:paraId="5FD314C6" w14:textId="7F23373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Cieľové skupiny:</w:t>
            </w:r>
          </w:p>
          <w:p w:rsidRPr="004555FE" w:rsidR="004555FE" w:rsidP="004555FE" w:rsidRDefault="004555FE" w14:paraId="0D3B56FA" w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</w:pPr>
          </w:p>
        </w:tc>
        <w:tc>
          <w:tcPr>
            <w:tcW w:w="56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4555FE" w:rsidR="004555FE" w:rsidP="004555FE" w:rsidRDefault="004555FE" w14:paraId="3B03AEBB" w14:textId="72CF3CFA">
            <w:pPr>
              <w:rPr>
                <w:rFonts w:cstheme="minorHAnsi"/>
                <w:bCs/>
              </w:rPr>
            </w:pPr>
            <w:r w:rsidRPr="004555FE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  <w:r w:rsidR="00680919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0919">
              <w:rPr>
                <w:rFonts w:ascii="Webdings" w:hAnsi="Webdings" w:cs="Arima Koshi"/>
              </w:rPr>
              <w:instrText xml:space="preserve"> FORMCHECKBOX </w:instrText>
            </w:r>
            <w:r w:rsidR="00A074D0">
              <w:rPr>
                <w:rFonts w:ascii="Webdings" w:hAnsi="Webdings" w:cs="Arima Koshi"/>
              </w:rPr>
            </w:r>
            <w:r w:rsidR="00A074D0">
              <w:rPr>
                <w:rFonts w:ascii="Webdings" w:hAnsi="Webdings" w:cs="Arima Koshi"/>
              </w:rPr>
              <w:fldChar w:fldCharType="separate"/>
            </w:r>
            <w:r w:rsidR="00680919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4555FE">
              <w:rPr>
                <w:rFonts w:cstheme="minorHAnsi"/>
                <w:bCs/>
              </w:rPr>
              <w:t>Micro</w:t>
            </w:r>
            <w:r w:rsidR="00396462">
              <w:rPr>
                <w:rFonts w:cstheme="minorHAnsi"/>
                <w:bCs/>
              </w:rPr>
              <w:t xml:space="preserve">, </w:t>
            </w:r>
            <w:r w:rsidR="00A074D0">
              <w:rPr>
                <w:rFonts w:cstheme="minorHAnsi"/>
                <w:bCs/>
              </w:rPr>
              <w:t>malý alebo stredný podnikateľ</w:t>
            </w:r>
            <w:r w:rsidRPr="004555FE">
              <w:rPr>
                <w:rFonts w:cstheme="minorHAnsi"/>
                <w:bCs/>
              </w:rPr>
              <w:t xml:space="preserve"> </w:t>
            </w:r>
          </w:p>
          <w:p w:rsidRPr="00A074D0" w:rsidR="004555FE" w:rsidP="00A074D0" w:rsidRDefault="004555FE" w14:paraId="2DD40654" w14:textId="2EC91249">
            <w:pPr>
              <w:rPr>
                <w:rFonts w:cstheme="minorHAnsi"/>
                <w:bCs/>
              </w:rPr>
            </w:pPr>
            <w:r>
              <w:rPr>
                <w:rFonts w:ascii="Webdings" w:hAnsi="Webdings" w:cs="Arima Koshi"/>
              </w:rPr>
              <w:t></w:t>
            </w:r>
            <w:r w:rsidR="00872A6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074D0" w:rsidR="00872A6E">
              <w:rPr>
                <w:rFonts w:ascii="Webdings" w:hAnsi="Webdings" w:cs="Arima Koshi"/>
              </w:rPr>
              <w:instrText xml:space="preserve"> FORMCHECKBOX </w:instrText>
            </w:r>
            <w:r w:rsidR="00A074D0">
              <w:rPr>
                <w:rFonts w:ascii="Webdings" w:hAnsi="Webdings" w:cs="Arima Koshi"/>
              </w:rPr>
            </w:r>
            <w:r w:rsidR="00A074D0">
              <w:rPr>
                <w:rFonts w:ascii="Webdings" w:hAnsi="Webdings" w:cs="Arima Koshi"/>
              </w:rPr>
              <w:fldChar w:fldCharType="separate"/>
            </w:r>
            <w:r w:rsidR="00872A6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A074D0" w:rsidR="00396462">
              <w:rPr>
                <w:rFonts w:cstheme="minorHAnsi"/>
                <w:bCs/>
              </w:rPr>
              <w:t>Zamestnan</w:t>
            </w:r>
            <w:r w:rsidRPr="00A074D0" w:rsidR="00A074D0">
              <w:rPr>
                <w:rFonts w:cstheme="minorHAnsi"/>
                <w:bCs/>
              </w:rPr>
              <w:t>ec</w:t>
            </w:r>
            <w:r w:rsidRPr="00A074D0" w:rsidR="00396462">
              <w:rPr>
                <w:rFonts w:cstheme="minorHAnsi"/>
                <w:bCs/>
              </w:rPr>
              <w:t xml:space="preserve"> v</w:t>
            </w:r>
            <w:r w:rsidRPr="00A074D0">
              <w:rPr>
                <w:rFonts w:cstheme="minorHAnsi"/>
                <w:bCs/>
              </w:rPr>
              <w:t xml:space="preserve"> </w:t>
            </w:r>
            <w:r w:rsidRPr="00A074D0" w:rsidR="00A074D0">
              <w:rPr>
                <w:rFonts w:cstheme="minorHAnsi"/>
                <w:bCs/>
              </w:rPr>
              <w:t>mikro, malom a</w:t>
            </w:r>
            <w:r w:rsidR="00A074D0">
              <w:rPr>
                <w:rFonts w:cstheme="minorHAnsi"/>
                <w:bCs/>
              </w:rPr>
              <w:t>lebo strednom podniku</w:t>
            </w:r>
          </w:p>
          <w:p w:rsidRPr="00A074D0" w:rsidR="004555FE" w:rsidP="004555FE" w:rsidRDefault="004555FE" w14:paraId="077161DF" w14:textId="6AD4341E">
            <w:pPr>
              <w:rPr>
                <w:rFonts w:cstheme="minorHAnsi"/>
                <w:bCs/>
              </w:rPr>
            </w:pPr>
            <w:r w:rsidRPr="00A074D0">
              <w:rPr>
                <w:rFonts w:cstheme="minorHAnsi"/>
                <w:bCs/>
              </w:rPr>
              <w:t xml:space="preserve">  </w:t>
            </w:r>
            <w:r w:rsidRPr="0052473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4D0">
              <w:rPr>
                <w:rFonts w:ascii="Webdings" w:hAnsi="Webdings" w:cs="Arima Koshi"/>
              </w:rPr>
              <w:instrText xml:space="preserve"> FORMCHECKBOX </w:instrText>
            </w:r>
            <w:r w:rsidR="00A074D0">
              <w:rPr>
                <w:rFonts w:ascii="Webdings" w:hAnsi="Webdings" w:cs="Arima Koshi"/>
              </w:rPr>
            </w:r>
            <w:r w:rsidR="00A074D0">
              <w:rPr>
                <w:rFonts w:ascii="Webdings" w:hAnsi="Webdings" w:cs="Arima Koshi"/>
              </w:rPr>
              <w:fldChar w:fldCharType="separate"/>
            </w:r>
            <w:r w:rsidRPr="0052473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Pr="00A074D0" w:rsidR="00A074D0">
              <w:rPr>
                <w:rFonts w:cstheme="minorHAnsi"/>
                <w:bCs/>
              </w:rPr>
              <w:t>P</w:t>
            </w:r>
            <w:r w:rsidR="00A074D0">
              <w:rPr>
                <w:rFonts w:cstheme="minorHAnsi"/>
                <w:bCs/>
              </w:rPr>
              <w:t>oskytovateľ VET</w:t>
            </w:r>
          </w:p>
          <w:p w:rsidRPr="004555FE" w:rsidR="004555FE" w:rsidP="004555FE" w:rsidRDefault="004555FE" w14:paraId="1DA9F3F1" w14:textId="5777A90B">
            <w:pPr>
              <w:rPr>
                <w:rFonts w:cstheme="minorHAnsi"/>
                <w:bCs/>
                <w:i/>
              </w:rPr>
            </w:pPr>
            <w:r>
              <w:rPr>
                <w:rFonts w:ascii="Webdings" w:hAnsi="Webdings" w:cs="Arima Koshi"/>
              </w:rPr>
              <w:t></w:t>
            </w:r>
            <w:r w:rsidRPr="0052473E">
              <w:rPr>
                <w:rFonts w:ascii="Webdings" w:hAnsi="Webdings" w:cs="Arima Kosh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3E">
              <w:rPr>
                <w:rFonts w:ascii="Webdings" w:hAnsi="Webdings" w:cs="Arima Koshi"/>
                <w:lang w:val="en-GB"/>
              </w:rPr>
              <w:instrText xml:space="preserve"> FORMCHECKBOX </w:instrText>
            </w:r>
            <w:r w:rsidR="00A074D0">
              <w:rPr>
                <w:rFonts w:ascii="Webdings" w:hAnsi="Webdings" w:cs="Arima Koshi"/>
              </w:rPr>
            </w:r>
            <w:r w:rsidR="00A074D0">
              <w:rPr>
                <w:rFonts w:ascii="Webdings" w:hAnsi="Webdings" w:cs="Arima Koshi"/>
              </w:rPr>
              <w:fldChar w:fldCharType="separate"/>
            </w:r>
            <w:r w:rsidRPr="0052473E">
              <w:rPr>
                <w:rFonts w:ascii="Webdings" w:hAnsi="Webdings" w:cs="Arima Koshi"/>
              </w:rPr>
              <w:fldChar w:fldCharType="end"/>
            </w:r>
            <w:r>
              <w:rPr>
                <w:rFonts w:ascii="Webdings" w:hAnsi="Webdings" w:cs="Arima Koshi"/>
              </w:rPr>
              <w:t></w:t>
            </w:r>
            <w:r w:rsidR="00A074D0">
              <w:rPr>
                <w:rFonts w:cstheme="minorHAnsi"/>
                <w:bCs/>
              </w:rPr>
              <w:t>Organizácia na podporu podnikania</w:t>
            </w:r>
          </w:p>
        </w:tc>
      </w:tr>
      <w:tr w:rsidRPr="004555FE" w:rsidR="004555FE" w:rsidTr="7A90AD4B" w14:paraId="7C9968C9" w14:textId="1C0018A1">
        <w:trPr>
          <w:trHeight w:val="420"/>
        </w:trPr>
        <w:tc>
          <w:tcPr>
            <w:tcW w:w="9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8D08D" w:themeFill="accent6" w:themeFillTint="99"/>
            <w:tcMar/>
          </w:tcPr>
          <w:p w:rsidRPr="004555FE" w:rsidR="004555FE" w:rsidP="004555FE" w:rsidRDefault="00C64023" w14:paraId="4ABD952E" w14:textId="2BBB9ECD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b/>
                <w:bCs/>
                <w:sz w:val="23"/>
                <w:szCs w:val="23"/>
                <w:lang w:val="en-GB" w:eastAsia="en-GB"/>
              </w:rPr>
              <w:t>Kompetencie a zručnosti podľa ESCO</w:t>
            </w:r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</w:tc>
      </w:tr>
      <w:tr w:rsidRPr="004555FE" w:rsidR="004555FE" w:rsidTr="7A90AD4B" w14:paraId="0174E41B" w14:textId="6610E47E">
        <w:trPr>
          <w:trHeight w:val="420"/>
        </w:trPr>
        <w:tc>
          <w:tcPr>
            <w:tcW w:w="90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hideMark/>
          </w:tcPr>
          <w:p w:rsidRPr="004555FE" w:rsidR="004555FE" w:rsidP="004555FE" w:rsidRDefault="00AB57A2" w14:paraId="23D99BE6" w14:textId="2A7A2F18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Prierezové zručnosti a kompetencie</w:t>
            </w:r>
          </w:p>
          <w:p w:rsidRPr="004555FE" w:rsidR="004555FE" w:rsidP="004555FE" w:rsidRDefault="004555FE" w14:paraId="6E3E92C1" w14:textId="19E2E76E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Soci</w:t>
            </w:r>
            <w:r w:rsidR="00AB57A2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álne a emočné zručnosti</w:t>
            </w:r>
          </w:p>
          <w:p w:rsidRPr="00F013D1" w:rsidR="004555FE" w:rsidP="004555FE" w:rsidRDefault="00AB57A2" w14:paraId="7190EBE6" w14:textId="3C89332B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Kritické myslenie</w:t>
            </w:r>
          </w:p>
          <w:p w:rsidRPr="00F013D1" w:rsidR="004555FE" w:rsidP="004555FE" w:rsidRDefault="004555FE" w14:paraId="5FB6C513" w14:textId="1223092B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F013D1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Analytic</w:t>
            </w:r>
            <w:r w:rsidR="00AB57A2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ké myslenie</w:t>
            </w:r>
            <w:r w:rsidRPr="00F013D1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AB57A2" w14:paraId="01B340C0" w14:textId="7ACB66CF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Riešenie problémov</w:t>
            </w:r>
          </w:p>
          <w:p w:rsidRPr="004555FE" w:rsidR="004555FE" w:rsidP="004555FE" w:rsidRDefault="00AB57A2" w14:paraId="54C7A6DE" w14:textId="5CD790A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Manažment seba samého</w:t>
            </w:r>
          </w:p>
          <w:p w:rsidRPr="00F013D1" w:rsidR="004555FE" w:rsidP="004555FE" w:rsidRDefault="00AB57A2" w14:paraId="0A59776F" w14:textId="56381F3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lastRenderedPageBreak/>
              <w:t xml:space="preserve">Podnikový </w:t>
            </w:r>
            <w:r w:rsidRPr="00F013D1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mana</w:t>
            </w: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ž</w:t>
            </w:r>
            <w:r w:rsidRPr="00F013D1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ment </w:t>
            </w:r>
          </w:p>
          <w:p w:rsidRPr="004555FE" w:rsidR="004555FE" w:rsidP="004555FE" w:rsidRDefault="004555FE" w14:paraId="25478D35" w14:textId="1997111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Adaptabilit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F013D1" w:rsidR="004555FE" w:rsidP="004555FE" w:rsidRDefault="009F6FE4" w14:paraId="4500E05A" w14:textId="19EFBC9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Odolnosť</w:t>
            </w:r>
          </w:p>
          <w:p w:rsidRPr="004555FE" w:rsidR="004555FE" w:rsidP="004555FE" w:rsidRDefault="009F6FE4" w14:paraId="4DABBC14" w14:textId="0E33E055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Kreativita</w:t>
            </w:r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505B2DDF" w14:textId="7777777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Networking </w:t>
            </w:r>
          </w:p>
          <w:p w:rsidRPr="004555FE" w:rsidR="004555FE" w:rsidP="004555FE" w:rsidRDefault="004555FE" w14:paraId="54FB9F59" w14:textId="54121DF8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Ini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ciatíva</w:t>
            </w:r>
          </w:p>
          <w:p w:rsidRPr="004555FE" w:rsidR="004555FE" w:rsidP="004555FE" w:rsidRDefault="004555FE" w14:paraId="541D0348" w14:textId="6C390C76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Flexibilit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a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7813B4D9" w14:textId="4BEBD2F1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O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tvorenosť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F013D1" w:rsidR="004555FE" w:rsidP="004555FE" w:rsidRDefault="009F6FE4" w14:paraId="270DE4EA" w14:textId="7509F9F1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Pochopenie komplexnosti</w:t>
            </w:r>
            <w:r w:rsidRPr="00F013D1" w:rsidR="004555FE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F013D1" w:rsidR="004555FE" w:rsidP="004555FE" w:rsidRDefault="009F6FE4" w14:paraId="5B13B70E" w14:textId="52C343A7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Spolupráca</w:t>
            </w:r>
          </w:p>
          <w:p w:rsidRPr="004555FE" w:rsidR="004555FE" w:rsidP="004555FE" w:rsidRDefault="004555FE" w14:paraId="1E6269F5" w14:textId="63BAB32B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Empat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ia</w:t>
            </w:r>
          </w:p>
          <w:p w:rsidRPr="004555FE" w:rsidR="004555FE" w:rsidP="004555FE" w:rsidRDefault="004555FE" w14:paraId="408795A0" w14:textId="5603EF1C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Innov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ácie</w:t>
            </w:r>
          </w:p>
          <w:p w:rsidRPr="004555FE" w:rsidR="004555FE" w:rsidP="004555FE" w:rsidRDefault="009F6FE4" w14:paraId="2C83E8C1" w14:textId="6B76F955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Vodcovstvo</w:t>
            </w:r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5B84EE7B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 </w:t>
            </w:r>
          </w:p>
          <w:p w:rsidRPr="004555FE" w:rsidR="004555FE" w:rsidP="004555FE" w:rsidRDefault="009F6FE4" w14:paraId="15BDD1A2" w14:textId="4888B4E7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Zručnosti</w:t>
            </w:r>
          </w:p>
          <w:p w:rsidRPr="00F013D1" w:rsidR="004555FE" w:rsidP="004555FE" w:rsidRDefault="004555FE" w14:paraId="2E1FEB60" w14:textId="2483EEBB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F013D1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Technologic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ké zručnosti</w:t>
            </w:r>
            <w:r w:rsidRPr="00F013D1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4555FE" w:rsidR="004555FE" w:rsidP="004555FE" w:rsidRDefault="009F6FE4" w14:paraId="19958C35" w14:textId="45CD418D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Marketing produktu</w:t>
            </w:r>
          </w:p>
          <w:p w:rsidRPr="004555FE" w:rsidR="004555FE" w:rsidP="004555FE" w:rsidRDefault="004555FE" w14:paraId="193087ED" w14:textId="5F877D18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Digit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álny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 marketing </w:t>
            </w:r>
          </w:p>
          <w:p w:rsidRPr="00F013D1" w:rsidR="004555FE" w:rsidP="004555FE" w:rsidRDefault="004555FE" w14:paraId="75DB4B30" w14:textId="4101BE43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F013D1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Digit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álne zručnosti</w:t>
            </w:r>
          </w:p>
          <w:p w:rsidRPr="004555FE" w:rsidR="004555FE" w:rsidP="004555FE" w:rsidRDefault="009F6FE4" w14:paraId="78E06433" w14:textId="052E8414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Komunikácia</w:t>
            </w:r>
          </w:p>
          <w:p w:rsidRPr="004555FE" w:rsidR="004555FE" w:rsidP="004555FE" w:rsidRDefault="009F6FE4" w14:paraId="5370EACB" w14:textId="6D2C4BD8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Spolupráca</w:t>
            </w:r>
          </w:p>
          <w:p w:rsidRPr="004555FE" w:rsidR="004555FE" w:rsidP="004555FE" w:rsidRDefault="004555FE" w14:paraId="2DEC47BD" w14:textId="0DC442FD">
            <w:pPr>
              <w:numPr>
                <w:ilvl w:val="0"/>
                <w:numId w:val="30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Emo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cionálna inteligencia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5C88D6E7" w14:textId="77777777">
            <w:pPr>
              <w:spacing w:after="0" w:line="240" w:lineRule="auto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 </w:t>
            </w:r>
          </w:p>
          <w:p w:rsidRPr="004555FE" w:rsidR="004555FE" w:rsidP="004555FE" w:rsidRDefault="009F6FE4" w14:paraId="08A9536F" w14:textId="3F5751D1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Znalosti</w:t>
            </w:r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9F6FE4" w14:paraId="62F271EF" w14:textId="3531A56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Podnikový manažment</w:t>
            </w:r>
          </w:p>
          <w:p w:rsidRPr="004555FE" w:rsidR="004555FE" w:rsidP="004555FE" w:rsidRDefault="004555FE" w14:paraId="0A09C8E6" w14:textId="4C4AF33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Online 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vzdelávanie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9F6FE4" w14:paraId="346CE8B0" w14:textId="7107DB6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Reklama</w:t>
            </w:r>
          </w:p>
          <w:p w:rsidRPr="004555FE" w:rsidR="004555FE" w:rsidP="004555FE" w:rsidRDefault="004555FE" w14:paraId="51276634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Cloud computing </w:t>
            </w:r>
          </w:p>
          <w:p w:rsidRPr="004555FE" w:rsidR="004555FE" w:rsidP="004555FE" w:rsidRDefault="004555FE" w14:paraId="6F88B08E" w14:textId="30C161D5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Big d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áta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69EA255B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E-commerce </w:t>
            </w:r>
          </w:p>
          <w:p w:rsidRPr="004555FE" w:rsidR="004555FE" w:rsidP="004555FE" w:rsidRDefault="009F6FE4" w14:paraId="56A7F1F1" w14:textId="6E0A436B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Umelá inteligencia</w:t>
            </w:r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4555FE" w14:paraId="03F99B3F" w14:textId="7ECBAEF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IoT 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(Internet vecí)</w:t>
            </w:r>
          </w:p>
          <w:p w:rsidRPr="00F233EB" w:rsidR="004555FE" w:rsidP="004555FE" w:rsidRDefault="004555FE" w14:paraId="19C57A8F" w14:textId="6B1915A8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 w:rsidRPr="00F233EB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Digit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álna gramotnosť</w:t>
            </w:r>
            <w:r w:rsidRPr="00F233EB"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 </w:t>
            </w:r>
          </w:p>
          <w:p w:rsidRPr="00F233EB" w:rsidR="004555FE" w:rsidP="004555FE" w:rsidRDefault="009F6FE4" w14:paraId="47FB7C0B" w14:textId="23562750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highlight w:val="yellow"/>
                <w:lang w:val="en-GB" w:eastAsia="en-GB"/>
              </w:rPr>
              <w:t>Kybernetická bezpečnosť</w:t>
            </w:r>
          </w:p>
          <w:p w:rsidRPr="004555FE" w:rsidR="004555FE" w:rsidP="004555FE" w:rsidRDefault="004555FE" w14:paraId="15D27F66" w14:textId="3F57629C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 xml:space="preserve">Data mining and </w:t>
            </w:r>
            <w:r w:rsidR="009F6FE4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dátové analýzy</w:t>
            </w: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9F6FE4" w14:paraId="476E37E2" w14:textId="3FD6BAFC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Udržateľnosť</w:t>
            </w:r>
          </w:p>
          <w:p w:rsidRPr="004555FE" w:rsidR="004555FE" w:rsidP="004555FE" w:rsidRDefault="004555FE" w14:paraId="6A62AC0B" w14:textId="77777777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Well-being </w:t>
            </w:r>
          </w:p>
          <w:p w:rsidRPr="004555FE" w:rsidR="004555FE" w:rsidP="004555FE" w:rsidRDefault="009F6FE4" w14:paraId="666F251E" w14:textId="494FDA22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Klimatická zmena</w:t>
            </w:r>
            <w:r w:rsidRPr="004555FE" w:rsidR="004555FE"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 </w:t>
            </w:r>
          </w:p>
          <w:p w:rsidRPr="004555FE" w:rsidR="004555FE" w:rsidP="004555FE" w:rsidRDefault="009F6FE4" w14:paraId="50EFEB28" w14:textId="51318A91">
            <w:pPr>
              <w:numPr>
                <w:ilvl w:val="0"/>
                <w:numId w:val="32"/>
              </w:numPr>
              <w:spacing w:after="0" w:line="240" w:lineRule="auto"/>
              <w:ind w:left="1080" w:firstLine="0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  <w:t>Riadenie sociálnych médií</w:t>
            </w:r>
          </w:p>
          <w:p w:rsidRPr="004555FE" w:rsidR="004555FE" w:rsidP="004555FE" w:rsidRDefault="004555FE" w14:paraId="311AAD5C" w14:textId="1F1D2FA8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  <w:sz w:val="23"/>
                <w:szCs w:val="23"/>
                <w:lang w:val="en-GB" w:eastAsia="en-GB"/>
              </w:rPr>
            </w:pPr>
            <w:r w:rsidRPr="004555FE">
              <w:rPr>
                <w:rFonts w:ascii="Calibri" w:hAnsi="Calibri" w:eastAsia="Times New Roman" w:cs="Calibri"/>
                <w:lang w:val="en-GB" w:eastAsia="en-GB"/>
              </w:rPr>
              <w:t> </w:t>
            </w:r>
          </w:p>
        </w:tc>
      </w:tr>
    </w:tbl>
    <w:p w:rsidR="004555FE" w:rsidP="007A6687" w:rsidRDefault="004555FE" w14:paraId="4D9C492B" w14:textId="77777777">
      <w:pPr>
        <w:jc w:val="both"/>
        <w:rPr>
          <w:rFonts w:cstheme="minorHAnsi"/>
          <w:bCs/>
        </w:rPr>
      </w:pPr>
    </w:p>
    <w:sectPr w:rsidR="004555FE" w:rsidSect="00872F05">
      <w:headerReference w:type="default" r:id="rId12"/>
      <w:footerReference w:type="default" r:id="rId13"/>
      <w:pgSz w:w="11907" w:h="16840" w:orient="portrait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6065" w:rsidRDefault="002A6065" w14:paraId="6B0F0E42" w14:textId="77777777">
      <w:pPr>
        <w:spacing w:after="0" w:line="240" w:lineRule="auto"/>
      </w:pPr>
      <w:r>
        <w:separator/>
      </w:r>
    </w:p>
  </w:endnote>
  <w:endnote w:type="continuationSeparator" w:id="0">
    <w:p w:rsidR="002A6065" w:rsidRDefault="002A6065" w14:paraId="73B5874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Pr="000F7582" w:rsidR="00475C90" w:rsidRDefault="00475C90" w14:paraId="4FB15B80" w14:textId="77777777">
        <w:pPr>
          <w:pStyle w:val="Pta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>
              <w:pict>
                <v:rect id="Rectángulo 14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o:spid="_x0000_s2049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:rsidR="00475C90" w:rsidRDefault="00475C90" w14:paraId="62102F2A" w14:textId="77777777">
    <w:pPr>
      <w:pStyle w:val="Pt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Pr="004012BE" w:rsidR="00475C90" w:rsidP="00493FC4" w:rsidRDefault="00475C90" w14:paraId="1BCCBAD2" w14:textId="77777777">
                          <w:pPr>
                            <w:pStyle w:val="Zkladn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:rsidRPr="001011A7" w:rsidR="00475C90" w:rsidP="00493FC4" w:rsidRDefault="00475C90" w14:paraId="1827BC1E" w14:textId="777777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63a537" strokecolor="#1f4d78 [1604]" strokeweight="1pt" w14:anchorId="09DA6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>
              <v:textbox>
                <w:txbxContent>
                  <w:p w:rsidRPr="004012BE" w:rsidR="00475C90" w:rsidP="00493FC4" w:rsidRDefault="00475C90" w14:paraId="1BCCBAD2" w14:textId="77777777">
                    <w:pPr>
                      <w:pStyle w:val="Zkladn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:rsidRPr="001011A7" w:rsidR="00475C90" w:rsidP="00493FC4" w:rsidRDefault="00475C90" w14:paraId="1827BC1E" w14:textId="7777777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6065" w:rsidRDefault="002A6065" w14:paraId="4FEFE0FF" w14:textId="77777777">
      <w:pPr>
        <w:spacing w:after="0" w:line="240" w:lineRule="auto"/>
      </w:pPr>
      <w:r>
        <w:separator/>
      </w:r>
    </w:p>
  </w:footnote>
  <w:footnote w:type="continuationSeparator" w:id="0">
    <w:p w:rsidR="002A6065" w:rsidRDefault="002A6065" w14:paraId="1052010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75C90" w:rsidP="005D1F73" w:rsidRDefault="00475C90" w14:paraId="14098916" w14:textId="77777777">
    <w:pPr>
      <w:pStyle w:val="Hlavika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59D"/>
    <w:multiLevelType w:val="hybridMultilevel"/>
    <w:tmpl w:val="CA34D91C"/>
    <w:lvl w:ilvl="0" w:tplc="EEAAB860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1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3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eastAsiaTheme="minorHAnsi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hint="default" w:ascii="Calibri" w:hAnsi="Calibri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hint="default" w:ascii="Calibri" w:hAnsi="Calibri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hint="default" w:ascii="Calibri" w:hAnsi="Calibri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hint="default" w:ascii="Calibri" w:hAnsi="Calibri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hint="default" w:ascii="Calibri" w:hAnsi="Calibri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hint="default" w:ascii="Calibri" w:hAnsi="Calibri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hint="default" w:ascii="Calibri" w:hAnsi="Calibri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hint="default" w:ascii="Calibri" w:hAnsi="Calibri"/>
      </w:rPr>
    </w:lvl>
  </w:abstractNum>
  <w:abstractNum w:abstractNumId="29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18511687">
    <w:abstractNumId w:val="31"/>
  </w:num>
  <w:num w:numId="2" w16cid:durableId="271481310">
    <w:abstractNumId w:val="8"/>
  </w:num>
  <w:num w:numId="3" w16cid:durableId="738986110">
    <w:abstractNumId w:val="28"/>
  </w:num>
  <w:num w:numId="4" w16cid:durableId="1500345345">
    <w:abstractNumId w:val="16"/>
  </w:num>
  <w:num w:numId="5" w16cid:durableId="1689715787">
    <w:abstractNumId w:val="6"/>
  </w:num>
  <w:num w:numId="6" w16cid:durableId="375548419">
    <w:abstractNumId w:val="20"/>
  </w:num>
  <w:num w:numId="7" w16cid:durableId="711078761">
    <w:abstractNumId w:val="30"/>
  </w:num>
  <w:num w:numId="8" w16cid:durableId="961308553">
    <w:abstractNumId w:val="29"/>
  </w:num>
  <w:num w:numId="9" w16cid:durableId="1061828723">
    <w:abstractNumId w:val="11"/>
  </w:num>
  <w:num w:numId="10" w16cid:durableId="624509361">
    <w:abstractNumId w:val="12"/>
  </w:num>
  <w:num w:numId="11" w16cid:durableId="1451124222">
    <w:abstractNumId w:val="24"/>
  </w:num>
  <w:num w:numId="12" w16cid:durableId="1480003231">
    <w:abstractNumId w:val="26"/>
  </w:num>
  <w:num w:numId="13" w16cid:durableId="60757343">
    <w:abstractNumId w:val="4"/>
  </w:num>
  <w:num w:numId="14" w16cid:durableId="444471334">
    <w:abstractNumId w:val="3"/>
  </w:num>
  <w:num w:numId="15" w16cid:durableId="689186322">
    <w:abstractNumId w:val="23"/>
  </w:num>
  <w:num w:numId="16" w16cid:durableId="1944605700">
    <w:abstractNumId w:val="9"/>
  </w:num>
  <w:num w:numId="17" w16cid:durableId="169376779">
    <w:abstractNumId w:val="17"/>
  </w:num>
  <w:num w:numId="18" w16cid:durableId="68162123">
    <w:abstractNumId w:val="32"/>
  </w:num>
  <w:num w:numId="19" w16cid:durableId="1283027657">
    <w:abstractNumId w:val="1"/>
  </w:num>
  <w:num w:numId="20" w16cid:durableId="1789816631">
    <w:abstractNumId w:val="19"/>
  </w:num>
  <w:num w:numId="21" w16cid:durableId="1037655378">
    <w:abstractNumId w:val="14"/>
  </w:num>
  <w:num w:numId="22" w16cid:durableId="843401912">
    <w:abstractNumId w:val="5"/>
  </w:num>
  <w:num w:numId="23" w16cid:durableId="230893463">
    <w:abstractNumId w:val="13"/>
  </w:num>
  <w:num w:numId="24" w16cid:durableId="1235822636">
    <w:abstractNumId w:val="21"/>
  </w:num>
  <w:num w:numId="25" w16cid:durableId="712273054">
    <w:abstractNumId w:val="2"/>
  </w:num>
  <w:num w:numId="26" w16cid:durableId="1129201341">
    <w:abstractNumId w:val="15"/>
  </w:num>
  <w:num w:numId="27" w16cid:durableId="342632950">
    <w:abstractNumId w:val="18"/>
  </w:num>
  <w:num w:numId="28" w16cid:durableId="693726639">
    <w:abstractNumId w:val="22"/>
  </w:num>
  <w:num w:numId="29" w16cid:durableId="1692804642">
    <w:abstractNumId w:val="33"/>
  </w:num>
  <w:num w:numId="30" w16cid:durableId="1060053386">
    <w:abstractNumId w:val="7"/>
  </w:num>
  <w:num w:numId="31" w16cid:durableId="517502535">
    <w:abstractNumId w:val="25"/>
  </w:num>
  <w:num w:numId="32" w16cid:durableId="1843469027">
    <w:abstractNumId w:val="10"/>
  </w:num>
  <w:num w:numId="33" w16cid:durableId="1724711058">
    <w:abstractNumId w:val="27"/>
  </w:num>
  <w:num w:numId="34" w16cid:durableId="1457990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67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C2A2A"/>
    <w:rsid w:val="000C4CC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2646"/>
    <w:rsid w:val="001D48C5"/>
    <w:rsid w:val="001E5E75"/>
    <w:rsid w:val="001F03B2"/>
    <w:rsid w:val="001F0E6C"/>
    <w:rsid w:val="00203EE5"/>
    <w:rsid w:val="00222CBC"/>
    <w:rsid w:val="00226988"/>
    <w:rsid w:val="0022750B"/>
    <w:rsid w:val="00236F24"/>
    <w:rsid w:val="00262CF4"/>
    <w:rsid w:val="0027473B"/>
    <w:rsid w:val="00284ECB"/>
    <w:rsid w:val="00284ED3"/>
    <w:rsid w:val="00292DB3"/>
    <w:rsid w:val="002958F2"/>
    <w:rsid w:val="00295C9D"/>
    <w:rsid w:val="002A52ED"/>
    <w:rsid w:val="002A6065"/>
    <w:rsid w:val="002B194E"/>
    <w:rsid w:val="002B3A13"/>
    <w:rsid w:val="002C78FB"/>
    <w:rsid w:val="002D32D1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36C52"/>
    <w:rsid w:val="00342BC2"/>
    <w:rsid w:val="0034397A"/>
    <w:rsid w:val="00354CEB"/>
    <w:rsid w:val="00356394"/>
    <w:rsid w:val="0036737B"/>
    <w:rsid w:val="00377A99"/>
    <w:rsid w:val="0038200B"/>
    <w:rsid w:val="00396462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649E4"/>
    <w:rsid w:val="004757B6"/>
    <w:rsid w:val="00475C90"/>
    <w:rsid w:val="004768C1"/>
    <w:rsid w:val="00493FC4"/>
    <w:rsid w:val="004A1646"/>
    <w:rsid w:val="004A3935"/>
    <w:rsid w:val="004B5FBE"/>
    <w:rsid w:val="004D29F0"/>
    <w:rsid w:val="004D4C59"/>
    <w:rsid w:val="004E4BD9"/>
    <w:rsid w:val="005039D3"/>
    <w:rsid w:val="0050557E"/>
    <w:rsid w:val="00515A45"/>
    <w:rsid w:val="005401D4"/>
    <w:rsid w:val="0054425F"/>
    <w:rsid w:val="00547201"/>
    <w:rsid w:val="00554A6D"/>
    <w:rsid w:val="00560198"/>
    <w:rsid w:val="005828AB"/>
    <w:rsid w:val="00582C7B"/>
    <w:rsid w:val="00582F0D"/>
    <w:rsid w:val="00590025"/>
    <w:rsid w:val="00591466"/>
    <w:rsid w:val="005A484A"/>
    <w:rsid w:val="005B3C41"/>
    <w:rsid w:val="005D0758"/>
    <w:rsid w:val="005D09EA"/>
    <w:rsid w:val="005D1F73"/>
    <w:rsid w:val="005D4772"/>
    <w:rsid w:val="005E32B2"/>
    <w:rsid w:val="005F6E46"/>
    <w:rsid w:val="006024CC"/>
    <w:rsid w:val="00613AD9"/>
    <w:rsid w:val="00620B56"/>
    <w:rsid w:val="00640C52"/>
    <w:rsid w:val="00645BA3"/>
    <w:rsid w:val="006554E6"/>
    <w:rsid w:val="006748D8"/>
    <w:rsid w:val="00680919"/>
    <w:rsid w:val="00680DCF"/>
    <w:rsid w:val="00682D10"/>
    <w:rsid w:val="0068313A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52ED1"/>
    <w:rsid w:val="00761CDE"/>
    <w:rsid w:val="0076267E"/>
    <w:rsid w:val="00764402"/>
    <w:rsid w:val="00767305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20EC9"/>
    <w:rsid w:val="008306C6"/>
    <w:rsid w:val="008312B8"/>
    <w:rsid w:val="00840EAA"/>
    <w:rsid w:val="00844B56"/>
    <w:rsid w:val="00846E6C"/>
    <w:rsid w:val="0085314D"/>
    <w:rsid w:val="00863443"/>
    <w:rsid w:val="008724E1"/>
    <w:rsid w:val="00872A6E"/>
    <w:rsid w:val="00872F05"/>
    <w:rsid w:val="008802B1"/>
    <w:rsid w:val="0088468F"/>
    <w:rsid w:val="00896AD4"/>
    <w:rsid w:val="008A3EA2"/>
    <w:rsid w:val="008C5343"/>
    <w:rsid w:val="008D349A"/>
    <w:rsid w:val="008F55B5"/>
    <w:rsid w:val="008F7A6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9F6FE4"/>
    <w:rsid w:val="00A02B45"/>
    <w:rsid w:val="00A05A85"/>
    <w:rsid w:val="00A074D0"/>
    <w:rsid w:val="00A17F17"/>
    <w:rsid w:val="00A24CB8"/>
    <w:rsid w:val="00A30D2B"/>
    <w:rsid w:val="00A37FB8"/>
    <w:rsid w:val="00A429A3"/>
    <w:rsid w:val="00A4534E"/>
    <w:rsid w:val="00A66B7C"/>
    <w:rsid w:val="00A72EFC"/>
    <w:rsid w:val="00A84769"/>
    <w:rsid w:val="00A84E4E"/>
    <w:rsid w:val="00A86B6F"/>
    <w:rsid w:val="00A87590"/>
    <w:rsid w:val="00AB57A2"/>
    <w:rsid w:val="00AC589D"/>
    <w:rsid w:val="00AD384C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3D16"/>
    <w:rsid w:val="00B7758C"/>
    <w:rsid w:val="00B85CE7"/>
    <w:rsid w:val="00BB57D8"/>
    <w:rsid w:val="00BC1625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023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E55DF"/>
    <w:rsid w:val="00CF3C49"/>
    <w:rsid w:val="00D0451E"/>
    <w:rsid w:val="00D2284D"/>
    <w:rsid w:val="00D279C6"/>
    <w:rsid w:val="00D3336A"/>
    <w:rsid w:val="00D370AC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6783"/>
    <w:rsid w:val="00EB2F42"/>
    <w:rsid w:val="00EC6941"/>
    <w:rsid w:val="00ED361F"/>
    <w:rsid w:val="00EE1AED"/>
    <w:rsid w:val="00EE2476"/>
    <w:rsid w:val="00EE3D84"/>
    <w:rsid w:val="00EE4D04"/>
    <w:rsid w:val="00EE6886"/>
    <w:rsid w:val="00EE6ACB"/>
    <w:rsid w:val="00EF2214"/>
    <w:rsid w:val="00EF5551"/>
    <w:rsid w:val="00F013D1"/>
    <w:rsid w:val="00F01CA7"/>
    <w:rsid w:val="00F131DF"/>
    <w:rsid w:val="00F233EB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B069C"/>
    <w:rsid w:val="00FB34A6"/>
    <w:rsid w:val="00FB680F"/>
    <w:rsid w:val="00FE4C63"/>
    <w:rsid w:val="00FE7546"/>
    <w:rsid w:val="00FF1A1B"/>
    <w:rsid w:val="0B55753D"/>
    <w:rsid w:val="6CDC6894"/>
    <w:rsid w:val="7A90A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FA1D75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5C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C244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0F7582"/>
  </w:style>
  <w:style w:type="paragraph" w:styleId="Pta">
    <w:name w:val="footer"/>
    <w:basedOn w:val="Normlny"/>
    <w:link w:val="Pta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0F7582"/>
  </w:style>
  <w:style w:type="character" w:styleId="websearch-marked" w:customStyle="1">
    <w:name w:val="web_search-marked"/>
    <w:basedOn w:val="Predvolenpsmoodseku"/>
    <w:rsid w:val="001777BF"/>
  </w:style>
  <w:style w:type="paragraph" w:styleId="Revzia">
    <w:name w:val="Revision"/>
    <w:hidden/>
    <w:uiPriority w:val="99"/>
    <w:semiHidden/>
    <w:rsid w:val="007E196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B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styleId="TextkomentraChar" w:customStyle="1">
    <w:name w:val="Text komentára Char"/>
    <w:basedOn w:val="Predvolenpsmoodseku"/>
    <w:link w:val="Textkomentra"/>
    <w:uiPriority w:val="99"/>
    <w:semiHidden/>
    <w:rsid w:val="006A2B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B1D"/>
    <w:rPr>
      <w:b/>
      <w:bCs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rsid w:val="006A2B1D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hAnsi="Tahoma" w:eastAsia="Tahoma" w:cs="Tahoma"/>
      <w:sz w:val="20"/>
      <w:szCs w:val="20"/>
    </w:rPr>
  </w:style>
  <w:style w:type="character" w:styleId="ZkladntextChar" w:customStyle="1">
    <w:name w:val="Základný text Char"/>
    <w:basedOn w:val="Predvolenpsmoodseku"/>
    <w:link w:val="Zkladntext"/>
    <w:uiPriority w:val="1"/>
    <w:rsid w:val="00493FC4"/>
    <w:rPr>
      <w:rFonts w:ascii="Tahoma" w:hAnsi="Tahoma" w:eastAsia="Tahoma" w:cs="Tahoma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styleId="TextpoznmkypodiarouChar" w:customStyle="1">
    <w:name w:val="Text poznámky pod čiarou Char"/>
    <w:basedOn w:val="Predvolenpsmoodseku"/>
    <w:link w:val="Textpoznmkypodiarou"/>
    <w:uiPriority w:val="99"/>
    <w:semiHidden/>
    <w:rsid w:val="00697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754E"/>
    <w:rPr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44C9"/>
    <w:rPr>
      <w:color w:val="954F72" w:themeColor="followedHyperlink"/>
      <w:u w:val="single"/>
    </w:rPr>
  </w:style>
  <w:style w:type="paragraph" w:styleId="paragraph" w:customStyle="1">
    <w:name w:val="paragraph"/>
    <w:basedOn w:val="Normlny"/>
    <w:rsid w:val="004555F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Predvolenpsmoodseku"/>
    <w:rsid w:val="004555FE"/>
  </w:style>
  <w:style w:type="character" w:styleId="eop" w:customStyle="1">
    <w:name w:val="eop"/>
    <w:basedOn w:val="Predvolenpsmoodseku"/>
    <w:rsid w:val="004555FE"/>
  </w:style>
  <w:style w:type="character" w:styleId="Nevyrieenzmienka">
    <w:name w:val="Unresolved Mention"/>
    <w:basedOn w:val="Predvolenpsmoodseku"/>
    <w:uiPriority w:val="99"/>
    <w:semiHidden/>
    <w:unhideWhenUsed/>
    <w:rsid w:val="00680919"/>
    <w:rPr>
      <w:color w:val="605E5C"/>
      <w:shd w:val="clear" w:color="auto" w:fill="E1DFDD"/>
    </w:rPr>
  </w:style>
  <w:style w:type="character" w:styleId="hwtze" w:customStyle="1">
    <w:name w:val="hwtze"/>
    <w:basedOn w:val="Predvolenpsmoodseku"/>
    <w:rsid w:val="00820EC9"/>
  </w:style>
  <w:style w:type="character" w:styleId="rynqvb" w:customStyle="1">
    <w:name w:val="rynqvb"/>
    <w:basedOn w:val="Predvolenpsmoodseku"/>
    <w:rsid w:val="0082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enisa.europa.eu/news/enisa-news/wannacry-ransomware-first-ever-case-of-cyber-cooperation-at-eu-level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1b7ede7273dc424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d5f6-2e96-44b6-8ba9-2a37d8429e63}"/>
      </w:docPartPr>
      <w:docPartBody>
        <w:p w14:paraId="66C9FF3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Holienka Marian</dc:creator>
  <lastModifiedBy>Katarína Gavalcová</lastModifiedBy>
  <revision>10</revision>
  <dcterms:created xsi:type="dcterms:W3CDTF">2023-05-15T14:08:00.0000000Z</dcterms:created>
  <dcterms:modified xsi:type="dcterms:W3CDTF">2023-05-16T13:14:13.3514820Z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